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1ED403BC">
      <w:pPr>
        <w:spacing w:line="520" w:lineRule="exact"/>
        <w:jc w:val="center"/>
        <w:rPr>
          <w:rFonts w:ascii="Arial" w:hAnsi="Arial" w:cs="Arial"/>
          <w:b/>
          <w:sz w:val="28"/>
          <w:szCs w:val="32"/>
        </w:rPr>
      </w:pPr>
      <w:r>
        <w:rPr>
          <w:rFonts w:ascii="Arial" w:hAnsi="Arial" w:cs="Arial"/>
          <w:b/>
          <w:kern w:val="0"/>
          <w:sz w:val="28"/>
          <w:szCs w:val="32"/>
          <w:lang w:bidi="en-US"/>
        </w:rPr>
        <w:t>柳州职业技术</w:t>
      </w:r>
      <w:r>
        <w:rPr>
          <w:rFonts w:hint="eastAsia" w:ascii="Arial" w:hAnsi="Arial" w:cs="Arial"/>
          <w:b/>
          <w:kern w:val="0"/>
          <w:sz w:val="28"/>
          <w:szCs w:val="32"/>
          <w:lang w:bidi="en-US"/>
        </w:rPr>
        <w:t>大学</w:t>
      </w:r>
      <w:r>
        <w:rPr>
          <w:rFonts w:hint="eastAsia" w:ascii="Arial" w:hAnsi="Arial" w:cs="Arial"/>
          <w:b/>
          <w:sz w:val="28"/>
          <w:szCs w:val="32"/>
        </w:rPr>
        <w:t>智能产品交互程序开发及教学资源制作服务</w:t>
      </w:r>
    </w:p>
    <w:p w14:paraId="23AC41B4">
      <w:pPr>
        <w:spacing w:line="520" w:lineRule="exact"/>
        <w:jc w:val="center"/>
        <w:rPr>
          <w:rFonts w:ascii="Arial" w:hAnsi="Arial" w:cs="Arial"/>
          <w:b/>
          <w:sz w:val="28"/>
          <w:szCs w:val="32"/>
        </w:rPr>
      </w:pPr>
      <w:r>
        <w:rPr>
          <w:rFonts w:hint="eastAsia" w:ascii="Arial" w:hAnsi="Arial" w:cs="Arial"/>
          <w:b/>
          <w:sz w:val="28"/>
          <w:szCs w:val="32"/>
        </w:rPr>
        <w:t>采购项目</w:t>
      </w:r>
      <w:r>
        <w:rPr>
          <w:rFonts w:ascii="Arial" w:hAnsi="Arial" w:cs="Arial"/>
          <w:b/>
          <w:sz w:val="28"/>
          <w:szCs w:val="32"/>
        </w:rPr>
        <w:t>询价采购公告</w:t>
      </w:r>
    </w:p>
    <w:p w14:paraId="163FA81C">
      <w:pPr>
        <w:widowControl/>
        <w:spacing w:after="200" w:line="276" w:lineRule="auto"/>
        <w:ind w:firstLine="1100" w:firstLineChars="500"/>
        <w:jc w:val="left"/>
        <w:rPr>
          <w:rFonts w:ascii="Arial" w:hAnsi="Arial" w:cs="Arial"/>
          <w:kern w:val="0"/>
          <w:sz w:val="22"/>
          <w:szCs w:val="24"/>
          <w:lang w:bidi="en-US"/>
        </w:rPr>
      </w:pPr>
      <w:r>
        <w:rPr>
          <w:rFonts w:ascii="Arial" w:hAnsi="Arial" w:cs="Arial"/>
          <w:kern w:val="0"/>
          <w:sz w:val="22"/>
          <w:szCs w:val="24"/>
          <w:lang w:bidi="en-US"/>
        </w:rPr>
        <w:t>采购编号：</w:t>
      </w:r>
      <w:r>
        <w:rPr>
          <w:rFonts w:hint="eastAsia" w:ascii="Arial" w:hAnsi="Arial" w:cs="Arial"/>
          <w:b/>
          <w:kern w:val="0"/>
          <w:sz w:val="22"/>
          <w:szCs w:val="24"/>
          <w:lang w:bidi="en-US"/>
        </w:rPr>
        <w:t>LZPU2026-</w:t>
      </w:r>
      <w:r>
        <w:rPr>
          <w:rFonts w:hint="eastAsia" w:ascii="Arial" w:hAnsi="Arial" w:cs="Arial"/>
          <w:b/>
          <w:kern w:val="0"/>
          <w:sz w:val="22"/>
          <w:szCs w:val="24"/>
          <w:lang w:val="en-US" w:eastAsia="zh-CN" w:bidi="en-US"/>
        </w:rPr>
        <w:t>37</w:t>
      </w:r>
      <w:r>
        <w:rPr>
          <w:rFonts w:ascii="Arial" w:hAnsi="Arial" w:cs="Arial"/>
          <w:kern w:val="0"/>
          <w:sz w:val="22"/>
          <w:szCs w:val="24"/>
          <w:lang w:bidi="en-US"/>
        </w:rPr>
        <w:t xml:space="preserve">                              发布日期：</w:t>
      </w:r>
      <w:r>
        <w:rPr>
          <w:rFonts w:hint="eastAsia" w:ascii="Arial" w:hAnsi="Arial" w:cs="Arial"/>
          <w:b/>
          <w:kern w:val="0"/>
          <w:sz w:val="22"/>
          <w:szCs w:val="24"/>
          <w:lang w:bidi="en-US"/>
        </w:rPr>
        <w:t>2026年</w:t>
      </w:r>
      <w:r>
        <w:rPr>
          <w:rFonts w:hint="eastAsia" w:ascii="Arial" w:hAnsi="Arial" w:cs="Arial"/>
          <w:b/>
          <w:kern w:val="0"/>
          <w:sz w:val="22"/>
          <w:szCs w:val="24"/>
          <w:lang w:val="en-US" w:eastAsia="zh-CN" w:bidi="en-US"/>
        </w:rPr>
        <w:t>11</w:t>
      </w:r>
      <w:r>
        <w:rPr>
          <w:rFonts w:hint="eastAsia" w:ascii="Arial" w:hAnsi="Arial" w:cs="Arial"/>
          <w:b/>
          <w:kern w:val="0"/>
          <w:sz w:val="22"/>
          <w:szCs w:val="24"/>
          <w:lang w:bidi="en-US"/>
        </w:rPr>
        <w:t>月</w:t>
      </w:r>
      <w:r>
        <w:rPr>
          <w:rFonts w:hint="eastAsia" w:ascii="Arial" w:hAnsi="Arial" w:cs="Arial"/>
          <w:b/>
          <w:kern w:val="0"/>
          <w:sz w:val="22"/>
          <w:szCs w:val="24"/>
          <w:lang w:val="en-US" w:eastAsia="zh-CN" w:bidi="en-US"/>
        </w:rPr>
        <w:t>12</w:t>
      </w:r>
      <w:r>
        <w:rPr>
          <w:rFonts w:hint="eastAsia" w:ascii="Arial" w:hAnsi="Arial" w:cs="Arial"/>
          <w:b/>
          <w:kern w:val="0"/>
          <w:sz w:val="22"/>
          <w:szCs w:val="24"/>
          <w:lang w:bidi="en-US"/>
        </w:rPr>
        <w:t>日</w:t>
      </w:r>
    </w:p>
    <w:p w14:paraId="62CB6BAF">
      <w:pPr>
        <w:numPr>
          <w:ilvl w:val="0"/>
          <w:numId w:val="1"/>
        </w:numPr>
        <w:spacing w:line="520" w:lineRule="exact"/>
        <w:rPr>
          <w:rFonts w:ascii="Arial" w:hAnsi="Arial" w:cs="Arial"/>
          <w:bCs/>
          <w:kern w:val="0"/>
          <w:sz w:val="24"/>
          <w:szCs w:val="28"/>
          <w:lang w:bidi="en-US"/>
        </w:rPr>
      </w:pPr>
      <w:r>
        <w:rPr>
          <w:rFonts w:ascii="Arial" w:hAnsi="Arial" w:cs="Arial"/>
          <w:bCs/>
          <w:kern w:val="0"/>
          <w:sz w:val="24"/>
          <w:szCs w:val="28"/>
          <w:lang w:bidi="en-US"/>
        </w:rPr>
        <w:t>项目名称：</w:t>
      </w:r>
      <w:r>
        <w:rPr>
          <w:rFonts w:hint="eastAsia" w:ascii="Arial" w:hAnsi="Arial" w:cs="Arial"/>
          <w:bCs/>
          <w:kern w:val="0"/>
          <w:sz w:val="24"/>
          <w:szCs w:val="28"/>
          <w:lang w:bidi="en-US"/>
        </w:rPr>
        <w:t>智能产品交互程序开发及教学资源制作服务</w:t>
      </w:r>
    </w:p>
    <w:p w14:paraId="4F39A208">
      <w:pPr>
        <w:numPr>
          <w:ilvl w:val="0"/>
          <w:numId w:val="1"/>
        </w:numPr>
        <w:spacing w:line="520" w:lineRule="exact"/>
        <w:rPr>
          <w:rFonts w:ascii="Arial" w:hAnsi="Arial" w:cs="Arial"/>
          <w:bCs/>
          <w:kern w:val="0"/>
          <w:sz w:val="24"/>
          <w:szCs w:val="28"/>
          <w:lang w:bidi="en-US"/>
        </w:rPr>
      </w:pPr>
      <w:r>
        <w:rPr>
          <w:rFonts w:ascii="Arial" w:hAnsi="Arial" w:cs="Arial"/>
          <w:bCs/>
          <w:kern w:val="0"/>
          <w:sz w:val="24"/>
          <w:szCs w:val="28"/>
          <w:lang w:bidi="en-US"/>
        </w:rPr>
        <w:t>询价采购项目预算金额：</w:t>
      </w:r>
      <w:r>
        <w:rPr>
          <w:rFonts w:hint="eastAsia" w:ascii="Arial" w:hAnsi="Arial" w:cs="Arial"/>
          <w:bCs/>
          <w:kern w:val="0"/>
          <w:sz w:val="24"/>
          <w:szCs w:val="28"/>
          <w:lang w:bidi="en-US"/>
        </w:rPr>
        <w:t>（人民币大写）伍万元整（¥50000.00）</w:t>
      </w:r>
    </w:p>
    <w:p w14:paraId="7B24866B">
      <w:pPr>
        <w:numPr>
          <w:ilvl w:val="0"/>
          <w:numId w:val="1"/>
        </w:numPr>
        <w:spacing w:line="520" w:lineRule="exact"/>
        <w:rPr>
          <w:rFonts w:ascii="Arial" w:hAnsi="Arial" w:cs="Arial"/>
          <w:b/>
          <w:kern w:val="0"/>
          <w:sz w:val="24"/>
          <w:szCs w:val="28"/>
          <w:lang w:bidi="en-US"/>
        </w:rPr>
      </w:pPr>
      <w:r>
        <w:rPr>
          <w:rFonts w:hint="eastAsia" w:ascii="Arial" w:hAnsi="Arial" w:cs="Arial"/>
          <w:bCs/>
          <w:kern w:val="0"/>
          <w:sz w:val="24"/>
          <w:szCs w:val="28"/>
          <w:lang w:bidi="en-US"/>
        </w:rPr>
        <w:t>评标方法：最低评标价法</w:t>
      </w:r>
    </w:p>
    <w:p w14:paraId="48EAFC50">
      <w:pPr>
        <w:numPr>
          <w:ilvl w:val="0"/>
          <w:numId w:val="1"/>
        </w:numPr>
        <w:rPr>
          <w:rFonts w:ascii="Arial" w:hAnsi="Arial" w:cs="Arial"/>
          <w:bCs/>
          <w:kern w:val="0"/>
          <w:sz w:val="24"/>
          <w:szCs w:val="28"/>
          <w:lang w:bidi="en-US"/>
        </w:rPr>
      </w:pPr>
      <w:r>
        <w:rPr>
          <w:rFonts w:ascii="Arial" w:hAnsi="Arial" w:cs="Arial"/>
          <w:bCs/>
          <w:kern w:val="0"/>
          <w:sz w:val="24"/>
          <w:szCs w:val="28"/>
          <w:lang w:bidi="en-US"/>
        </w:rPr>
        <w:t>采购</w:t>
      </w:r>
      <w:r>
        <w:rPr>
          <w:rFonts w:hint="eastAsia" w:ascii="Arial" w:hAnsi="Arial" w:cs="Arial"/>
          <w:bCs/>
          <w:kern w:val="0"/>
          <w:sz w:val="24"/>
          <w:szCs w:val="28"/>
          <w:lang w:bidi="en-US"/>
        </w:rPr>
        <w:t>要</w:t>
      </w:r>
      <w:r>
        <w:rPr>
          <w:rFonts w:ascii="Arial" w:hAnsi="Arial" w:cs="Arial"/>
          <w:bCs/>
          <w:kern w:val="0"/>
          <w:sz w:val="24"/>
          <w:szCs w:val="28"/>
          <w:lang w:bidi="en-US"/>
        </w:rPr>
        <w:t>求</w:t>
      </w:r>
    </w:p>
    <w:p w14:paraId="75D6DB85">
      <w:pPr>
        <w:pStyle w:val="7"/>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6"/>
        <w:gridCol w:w="851"/>
        <w:gridCol w:w="7759"/>
        <w:gridCol w:w="375"/>
        <w:gridCol w:w="465"/>
      </w:tblGrid>
      <w:tr w14:paraId="4124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16" w:type="dxa"/>
            <w:vAlign w:val="center"/>
          </w:tcPr>
          <w:p w14:paraId="23B0FEA0">
            <w:pPr>
              <w:widowControl/>
              <w:jc w:val="center"/>
              <w:rPr>
                <w:rFonts w:ascii="Arial" w:hAnsi="Arial" w:cs="Arial"/>
                <w:color w:val="000000"/>
                <w:kern w:val="0"/>
                <w:szCs w:val="21"/>
              </w:rPr>
            </w:pPr>
            <w:r>
              <w:rPr>
                <w:rFonts w:ascii="Arial" w:hAnsi="Arial" w:cs="Arial"/>
                <w:color w:val="000000"/>
                <w:kern w:val="0"/>
                <w:szCs w:val="21"/>
              </w:rPr>
              <w:t>序号</w:t>
            </w:r>
          </w:p>
        </w:tc>
        <w:tc>
          <w:tcPr>
            <w:tcW w:w="851" w:type="dxa"/>
            <w:shd w:val="clear" w:color="auto" w:fill="auto"/>
            <w:noWrap/>
            <w:vAlign w:val="center"/>
          </w:tcPr>
          <w:p w14:paraId="12B76B21">
            <w:pPr>
              <w:widowControl/>
              <w:jc w:val="center"/>
              <w:rPr>
                <w:rFonts w:ascii="Arial" w:hAnsi="Arial" w:cs="Arial"/>
                <w:color w:val="000000"/>
                <w:kern w:val="0"/>
                <w:szCs w:val="21"/>
              </w:rPr>
            </w:pPr>
            <w:r>
              <w:rPr>
                <w:rFonts w:ascii="Arial" w:hAnsi="Arial" w:cs="Arial"/>
                <w:color w:val="000000"/>
                <w:kern w:val="0"/>
                <w:szCs w:val="21"/>
              </w:rPr>
              <w:t>名称</w:t>
            </w:r>
          </w:p>
        </w:tc>
        <w:tc>
          <w:tcPr>
            <w:tcW w:w="7759" w:type="dxa"/>
            <w:shd w:val="clear" w:color="auto" w:fill="auto"/>
            <w:noWrap/>
            <w:vAlign w:val="center"/>
          </w:tcPr>
          <w:p w14:paraId="288B6895">
            <w:pPr>
              <w:widowControl/>
              <w:jc w:val="center"/>
              <w:rPr>
                <w:rFonts w:ascii="Arial" w:hAnsi="Arial" w:cs="Arial"/>
                <w:color w:val="000000"/>
                <w:kern w:val="0"/>
                <w:szCs w:val="21"/>
              </w:rPr>
            </w:pPr>
            <w:r>
              <w:rPr>
                <w:rFonts w:hint="eastAsia" w:ascii="Arial" w:hAnsi="Arial" w:cs="Arial"/>
                <w:kern w:val="0"/>
                <w:szCs w:val="21"/>
              </w:rPr>
              <w:t>参数</w:t>
            </w:r>
            <w:r>
              <w:rPr>
                <w:rFonts w:hint="eastAsia" w:ascii="Arial" w:hAnsi="Arial" w:cs="Arial"/>
                <w:color w:val="000000"/>
                <w:kern w:val="0"/>
                <w:szCs w:val="21"/>
              </w:rPr>
              <w:t>要求</w:t>
            </w:r>
          </w:p>
        </w:tc>
        <w:tc>
          <w:tcPr>
            <w:tcW w:w="375" w:type="dxa"/>
            <w:shd w:val="clear" w:color="auto" w:fill="auto"/>
            <w:noWrap/>
            <w:vAlign w:val="center"/>
          </w:tcPr>
          <w:p w14:paraId="482FA216">
            <w:pPr>
              <w:widowControl/>
              <w:jc w:val="center"/>
              <w:rPr>
                <w:rFonts w:ascii="Arial" w:hAnsi="Arial" w:cs="Arial"/>
                <w:color w:val="000000"/>
                <w:kern w:val="0"/>
                <w:szCs w:val="21"/>
              </w:rPr>
            </w:pPr>
            <w:r>
              <w:rPr>
                <w:rFonts w:hint="eastAsia" w:ascii="Arial" w:hAnsi="Arial" w:cs="Arial"/>
                <w:color w:val="000000"/>
                <w:kern w:val="0"/>
                <w:szCs w:val="21"/>
              </w:rPr>
              <w:t>数量</w:t>
            </w:r>
          </w:p>
        </w:tc>
        <w:tc>
          <w:tcPr>
            <w:tcW w:w="465" w:type="dxa"/>
            <w:shd w:val="clear" w:color="auto" w:fill="auto"/>
            <w:noWrap/>
            <w:vAlign w:val="center"/>
          </w:tcPr>
          <w:p w14:paraId="4D5D442D">
            <w:pPr>
              <w:widowControl/>
              <w:jc w:val="center"/>
              <w:rPr>
                <w:rFonts w:ascii="Arial" w:hAnsi="Arial" w:cs="Arial"/>
                <w:color w:val="000000"/>
                <w:kern w:val="0"/>
                <w:szCs w:val="21"/>
              </w:rPr>
            </w:pPr>
            <w:r>
              <w:rPr>
                <w:rFonts w:hint="eastAsia" w:ascii="Arial" w:hAnsi="Arial" w:cs="Arial"/>
                <w:color w:val="000000"/>
                <w:kern w:val="0"/>
                <w:szCs w:val="21"/>
              </w:rPr>
              <w:t>单位</w:t>
            </w:r>
          </w:p>
        </w:tc>
      </w:tr>
      <w:tr w14:paraId="0968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jc w:val="center"/>
        </w:trPr>
        <w:tc>
          <w:tcPr>
            <w:tcW w:w="616" w:type="dxa"/>
          </w:tcPr>
          <w:p w14:paraId="541DEB79">
            <w:pPr>
              <w:rPr>
                <w:rFonts w:ascii="Arial" w:hAnsi="Arial" w:cs="Arial"/>
                <w:kern w:val="0"/>
                <w:szCs w:val="21"/>
              </w:rPr>
            </w:pPr>
            <w:r>
              <w:t>1</w:t>
            </w:r>
          </w:p>
        </w:tc>
        <w:tc>
          <w:tcPr>
            <w:tcW w:w="851" w:type="dxa"/>
            <w:shd w:val="clear" w:color="auto" w:fill="auto"/>
            <w:noWrap/>
          </w:tcPr>
          <w:p w14:paraId="5D490E7F">
            <w:pPr>
              <w:rPr>
                <w:rFonts w:ascii="Arial" w:hAnsi="Arial" w:cs="Arial"/>
                <w:kern w:val="0"/>
                <w:szCs w:val="21"/>
              </w:rPr>
            </w:pPr>
            <w:r>
              <w:rPr>
                <w:rFonts w:hint="eastAsia"/>
                <w:lang w:val="en-US" w:eastAsia="zh-CN"/>
              </w:rPr>
              <w:t>实时</w:t>
            </w:r>
            <w:r>
              <w:t>三维场景搭建</w:t>
            </w:r>
          </w:p>
        </w:tc>
        <w:tc>
          <w:tcPr>
            <w:tcW w:w="7759" w:type="dxa"/>
            <w:shd w:val="clear" w:color="auto" w:fill="auto"/>
            <w:noWrap/>
          </w:tcPr>
          <w:p w14:paraId="18ADD5F2">
            <w:pPr>
              <w:numPr>
                <w:ilvl w:val="0"/>
                <w:numId w:val="2"/>
              </w:numPr>
              <w:rPr>
                <w:rFonts w:hint="eastAsia"/>
              </w:rPr>
            </w:pPr>
            <w:r>
              <w:rPr>
                <w:rFonts w:hint="eastAsia"/>
              </w:rPr>
              <w:t>采用PBR支持的实时三维渲染引擎，搭建不少于1套三维交互展示场景，可使用UE5、Unity或具备同等能力的国产实时渲染引擎实现。</w:t>
            </w:r>
          </w:p>
          <w:p w14:paraId="2863252E">
            <w:pPr>
              <w:numPr>
                <w:ilvl w:val="0"/>
                <w:numId w:val="0"/>
              </w:numPr>
            </w:pPr>
            <w:r>
              <w:rPr>
                <w:rFonts w:hint="eastAsia"/>
              </w:rPr>
              <w:t>2.引擎须支持PBR物理材质、可视化逻辑编排或等效脚本编程、模型导入及灯光配置</w:t>
            </w:r>
            <w:r>
              <w:rPr>
                <w:rFonts w:hint="eastAsia"/>
                <w:lang w:eastAsia="zh-CN"/>
              </w:rPr>
              <w:t>。</w:t>
            </w:r>
            <w:r>
              <w:t xml:space="preserve"> </w:t>
            </w:r>
          </w:p>
          <w:p w14:paraId="2DBB8106">
            <w:pPr>
              <w:rPr>
                <w:rFonts w:hint="eastAsia" w:eastAsiaTheme="minorEastAsia"/>
                <w:lang w:eastAsia="zh-CN"/>
              </w:rPr>
            </w:pPr>
            <w:r>
              <w:rPr>
                <w:rFonts w:hint="eastAsia"/>
              </w:rPr>
              <w:t>3.场景至少包含1台智能装备整机、铲斗和螺旋钻机2类属具及2种可切换的作业工况</w:t>
            </w:r>
            <w:r>
              <w:rPr>
                <w:rFonts w:hint="eastAsia"/>
                <w:lang w:eastAsia="zh-CN"/>
              </w:rPr>
              <w:t>。</w:t>
            </w:r>
          </w:p>
          <w:p w14:paraId="40E8FC8D">
            <w:pPr>
              <w:rPr>
                <w:rFonts w:hint="eastAsia" w:eastAsiaTheme="minorEastAsia"/>
                <w:lang w:eastAsia="zh-CN"/>
              </w:rPr>
            </w:pPr>
            <w:r>
              <w:rPr>
                <w:rFonts w:hint="eastAsia"/>
              </w:rPr>
              <w:t>4.完成智能装备高精度模型导入与场景整合，包含整机模型、属具模型（铲斗、螺旋钻机等）的场景摆放与材质调试</w:t>
            </w:r>
            <w:r>
              <w:rPr>
                <w:rFonts w:hint="eastAsia"/>
                <w:lang w:eastAsia="zh-CN"/>
              </w:rPr>
              <w:t>。</w:t>
            </w:r>
          </w:p>
          <w:p w14:paraId="27A9FAA8">
            <w:pPr>
              <w:rPr>
                <w:rFonts w:hint="eastAsia" w:eastAsiaTheme="minorEastAsia"/>
                <w:lang w:eastAsia="zh-CN"/>
              </w:rPr>
            </w:pPr>
            <w:r>
              <w:rPr>
                <w:rFonts w:hint="eastAsia"/>
              </w:rPr>
              <w:t>5.整机模型三角面数不少于100000，铲斗及螺旋钻机模型三角面数各不少于10000；结构爆炸展示至少包含5个可独立选择、命名及拆解的部件</w:t>
            </w:r>
            <w:r>
              <w:rPr>
                <w:rFonts w:hint="eastAsia"/>
                <w:lang w:eastAsia="zh-CN"/>
              </w:rPr>
              <w:t>。</w:t>
            </w:r>
          </w:p>
          <w:p w14:paraId="61414291">
            <w:pPr>
              <w:rPr>
                <w:rFonts w:hint="eastAsia"/>
                <w:lang w:eastAsia="zh-CN"/>
              </w:rPr>
            </w:pPr>
            <w:r>
              <w:rPr>
                <w:rFonts w:hint="eastAsia"/>
              </w:rPr>
              <w:t>6.主要可见部件贴图分辨率不低于2048×2048，PBR材质须包含基础色、法线、粗糙度及金属度信息，允许贴图通道合并</w:t>
            </w:r>
            <w:r>
              <w:rPr>
                <w:rFonts w:hint="eastAsia"/>
                <w:lang w:eastAsia="zh-CN"/>
              </w:rPr>
              <w:t>。</w:t>
            </w:r>
          </w:p>
          <w:p w14:paraId="5ED2857C">
            <w:r>
              <w:rPr>
                <w:rFonts w:hint="eastAsia"/>
              </w:rPr>
              <w:t>7.</w:t>
            </w:r>
            <w:r>
              <w:rPr>
                <w:rFonts w:hint="eastAsia"/>
                <w:highlight w:val="none"/>
              </w:rPr>
              <w:t>模型轮廓和部件对应关系须与</w:t>
            </w:r>
            <w:r>
              <w:rPr>
                <w:rFonts w:hint="eastAsia"/>
                <w:b/>
                <w:bCs/>
                <w:highlight w:val="none"/>
                <w:lang w:val="en-US" w:eastAsia="zh-CN"/>
              </w:rPr>
              <w:t>附件：模型参考图</w:t>
            </w:r>
            <w:r>
              <w:rPr>
                <w:rFonts w:hint="eastAsia"/>
                <w:highlight w:val="none"/>
                <w:lang w:val="en-US" w:eastAsia="zh-CN"/>
              </w:rPr>
              <w:t>内容</w:t>
            </w:r>
            <w:r>
              <w:rPr>
                <w:rFonts w:hint="eastAsia"/>
                <w:highlight w:val="none"/>
              </w:rPr>
              <w:t>一致</w:t>
            </w:r>
            <w:r>
              <w:rPr>
                <w:rFonts w:hint="eastAsia"/>
                <w:highlight w:val="none"/>
                <w:lang w:eastAsia="zh-CN"/>
              </w:rPr>
              <w:t>，</w:t>
            </w:r>
            <w:r>
              <w:rPr>
                <w:rFonts w:hint="eastAsia"/>
                <w:highlight w:val="none"/>
              </w:rPr>
              <w:t>标准</w:t>
            </w:r>
            <w:r>
              <w:rPr>
                <w:rFonts w:hint="eastAsia"/>
              </w:rPr>
              <w:t>为：</w:t>
            </w:r>
          </w:p>
          <w:p w14:paraId="135B7DA4">
            <w:r>
              <w:rPr>
                <w:rFonts w:hint="eastAsia"/>
              </w:rPr>
              <w:t>（1）按相同视角等比例对比，模型主要轮廓尺寸与参考图对应尺寸的偏差不超过5%，各部件划分与部件清单一一对应；</w:t>
            </w:r>
          </w:p>
          <w:p w14:paraId="1DE770D5">
            <w:r>
              <w:rPr>
                <w:rFonts w:hint="eastAsia"/>
              </w:rPr>
              <w:t>（2）交付模型面数、部件及贴图规格清单；</w:t>
            </w:r>
          </w:p>
          <w:p w14:paraId="4291C9F8">
            <w:pPr>
              <w:rPr>
                <w:rFonts w:hint="eastAsia"/>
                <w:lang w:val="en-US" w:eastAsia="zh-CN"/>
              </w:rPr>
            </w:pPr>
            <w:r>
              <w:rPr>
                <w:rFonts w:hint="eastAsia"/>
              </w:rPr>
              <w:t>（3）完成场景灯光体系布置，包含主光及环境氛围光，每类不少于1组，支持分别调整开关、亮度及颜色</w:t>
            </w:r>
            <w:r>
              <w:rPr>
                <w:rFonts w:hint="eastAsia"/>
                <w:lang w:val="en-US" w:eastAsia="zh-CN"/>
              </w:rPr>
              <w:t>。</w:t>
            </w:r>
          </w:p>
          <w:p w14:paraId="2EED44C8">
            <w:pPr>
              <w:rPr>
                <w:b/>
                <w:bCs/>
              </w:rPr>
            </w:pPr>
            <w:r>
              <w:rPr>
                <w:rFonts w:hint="eastAsia"/>
                <w:b/>
                <w:bCs/>
              </w:rPr>
              <w:t>8.交付内容：</w:t>
            </w:r>
          </w:p>
          <w:p w14:paraId="17B170D8">
            <w:pPr>
              <w:rPr>
                <w:rFonts w:hint="eastAsia" w:eastAsiaTheme="minorEastAsia"/>
                <w:lang w:val="en-US" w:eastAsia="zh-CN"/>
              </w:rPr>
            </w:pPr>
            <w:r>
              <w:rPr>
                <w:rFonts w:hint="eastAsia"/>
              </w:rPr>
              <w:t>（1）所采用引擎的完整可编辑项目工程源文件（含场景、可视化逻辑或脚本、模型、材质、贴图及其他资源）</w:t>
            </w:r>
            <w:r>
              <w:rPr>
                <w:rFonts w:hint="eastAsia"/>
                <w:lang w:val="en-US" w:eastAsia="zh-CN"/>
              </w:rPr>
              <w:t>;</w:t>
            </w:r>
          </w:p>
          <w:p w14:paraId="6474F25A">
            <w:r>
              <w:rPr>
                <w:rFonts w:hint="eastAsia"/>
              </w:rPr>
              <w:t>（2）可独立运行的Windows可执行程序（.exe）；</w:t>
            </w:r>
          </w:p>
          <w:p w14:paraId="68C98EE9">
            <w:r>
              <w:rPr>
                <w:rFonts w:hint="eastAsia"/>
              </w:rPr>
              <w:t>（3）提供引擎版本及依赖清单、工程打开和构建说明、适用操作系统及最低硬件配置说明，附必要运行库。</w:t>
            </w:r>
          </w:p>
          <w:p w14:paraId="7EAAB12B">
            <w:pPr>
              <w:rPr>
                <w:rFonts w:cs="Times New Roman"/>
                <w:sz w:val="24"/>
                <w:szCs w:val="24"/>
              </w:rPr>
            </w:pPr>
          </w:p>
        </w:tc>
        <w:tc>
          <w:tcPr>
            <w:tcW w:w="375" w:type="dxa"/>
            <w:shd w:val="clear" w:color="auto" w:fill="auto"/>
            <w:noWrap/>
          </w:tcPr>
          <w:p w14:paraId="766D8B44">
            <w:pPr>
              <w:rPr>
                <w:rFonts w:ascii="Arial" w:hAnsi="Arial" w:cs="Arial"/>
                <w:kern w:val="0"/>
                <w:szCs w:val="21"/>
              </w:rPr>
            </w:pPr>
            <w:r>
              <w:t>1</w:t>
            </w:r>
          </w:p>
        </w:tc>
        <w:tc>
          <w:tcPr>
            <w:tcW w:w="465" w:type="dxa"/>
            <w:shd w:val="clear" w:color="auto" w:fill="auto"/>
            <w:noWrap/>
          </w:tcPr>
          <w:p w14:paraId="64E6022E">
            <w:pPr>
              <w:rPr>
                <w:rFonts w:ascii="Arial" w:hAnsi="Arial" w:cs="Arial"/>
                <w:kern w:val="0"/>
                <w:szCs w:val="21"/>
              </w:rPr>
            </w:pPr>
            <w:r>
              <w:t>项</w:t>
            </w:r>
          </w:p>
        </w:tc>
      </w:tr>
      <w:tr w14:paraId="361B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jc w:val="center"/>
        </w:trPr>
        <w:tc>
          <w:tcPr>
            <w:tcW w:w="616" w:type="dxa"/>
          </w:tcPr>
          <w:p w14:paraId="3E438952">
            <w:pPr>
              <w:rPr>
                <w:rFonts w:ascii="Arial" w:hAnsi="Arial" w:cs="Arial"/>
                <w:kern w:val="0"/>
                <w:szCs w:val="21"/>
              </w:rPr>
            </w:pPr>
            <w:r>
              <w:t>2</w:t>
            </w:r>
          </w:p>
        </w:tc>
        <w:tc>
          <w:tcPr>
            <w:tcW w:w="851" w:type="dxa"/>
            <w:shd w:val="clear" w:color="auto" w:fill="auto"/>
            <w:noWrap/>
          </w:tcPr>
          <w:p w14:paraId="033A7A13">
            <w:pPr>
              <w:rPr>
                <w:rFonts w:ascii="Arial" w:hAnsi="Arial" w:cs="Arial"/>
                <w:kern w:val="0"/>
                <w:szCs w:val="21"/>
              </w:rPr>
            </w:pPr>
            <w:r>
              <w:t>交互界面设计与开 发</w:t>
            </w:r>
          </w:p>
        </w:tc>
        <w:tc>
          <w:tcPr>
            <w:tcW w:w="7759" w:type="dxa"/>
            <w:shd w:val="clear" w:color="auto" w:fill="auto"/>
            <w:noWrap/>
          </w:tcPr>
          <w:p w14:paraId="27CBA21D">
            <w:pPr>
              <w:numPr>
                <w:ilvl w:val="0"/>
                <w:numId w:val="3"/>
              </w:numPr>
            </w:pPr>
            <w:r>
              <w:rPr>
                <w:rFonts w:hint="eastAsia"/>
              </w:rPr>
              <w:t>设计不少于4个功能页面，至少包含：</w:t>
            </w:r>
          </w:p>
          <w:p w14:paraId="1F7A13C4">
            <w:r>
              <w:rPr>
                <w:rFonts w:hint="eastAsia"/>
              </w:rPr>
              <w:t>①加载页：显示0%-100%加载进度及状态提示，并设置1个进入</w:t>
            </w:r>
            <w:r>
              <w:rPr>
                <w:rFonts w:hint="eastAsia"/>
                <w:lang w:val="en-US" w:eastAsia="zh-CN"/>
              </w:rPr>
              <w:t>展厅的底部主操作</w:t>
            </w:r>
            <w:r>
              <w:rPr>
                <w:rFonts w:hint="eastAsia"/>
              </w:rPr>
              <w:t>按钮；</w:t>
            </w:r>
          </w:p>
          <w:p w14:paraId="135EC33A">
            <w:r>
              <w:rPr>
                <w:rFonts w:hint="eastAsia"/>
              </w:rPr>
              <w:t>②机型选择页：设置不少于1个可选机型卡片</w:t>
            </w:r>
            <w:r>
              <w:rPr>
                <w:rFonts w:hint="eastAsia"/>
                <w:lang w:eastAsia="zh-CN"/>
              </w:rPr>
              <w:t>（</w:t>
            </w:r>
            <w:r>
              <w:rPr>
                <w:rFonts w:hint="eastAsia"/>
                <w:lang w:val="en-US" w:eastAsia="zh-CN"/>
              </w:rPr>
              <w:t>左右两侧悬浮式选项卡</w:t>
            </w:r>
            <w:r>
              <w:rPr>
                <w:rFonts w:hint="eastAsia"/>
                <w:lang w:eastAsia="zh-CN"/>
              </w:rPr>
              <w:t>）</w:t>
            </w:r>
            <w:r>
              <w:rPr>
                <w:rFonts w:hint="eastAsia"/>
              </w:rPr>
              <w:t>、1个进入</w:t>
            </w:r>
            <w:r>
              <w:rPr>
                <w:rFonts w:hint="eastAsia"/>
                <w:lang w:val="en-US" w:eastAsia="zh-CN"/>
              </w:rPr>
              <w:t>展厅底部操作</w:t>
            </w:r>
            <w:r>
              <w:rPr>
                <w:rFonts w:hint="eastAsia"/>
              </w:rPr>
              <w:t>按钮</w:t>
            </w:r>
            <w:r>
              <w:rPr>
                <w:rFonts w:hint="eastAsia"/>
                <w:lang w:eastAsia="zh-CN"/>
              </w:rPr>
              <w:t>；</w:t>
            </w:r>
          </w:p>
          <w:p w14:paraId="73B3C564">
            <w:pPr>
              <w:rPr>
                <w:rFonts w:hint="eastAsia"/>
                <w:lang w:val="en-US" w:eastAsia="zh-CN"/>
              </w:rPr>
            </w:pPr>
            <w:r>
              <w:rPr>
                <w:rFonts w:hint="eastAsia"/>
              </w:rPr>
              <w:t>③工况作业场景页：设置</w:t>
            </w:r>
            <w:r>
              <w:rPr>
                <w:rFonts w:hint="eastAsia"/>
                <w:lang w:val="en-US" w:eastAsia="zh-CN"/>
              </w:rPr>
              <w:t>部件查看悬浮气泡与悬浮信息弹窗（科技风）；</w:t>
            </w:r>
          </w:p>
          <w:p w14:paraId="3911DF2B">
            <w:pPr>
              <w:rPr>
                <w:rFonts w:hint="eastAsia" w:eastAsiaTheme="minorEastAsia"/>
                <w:lang w:eastAsia="zh-CN"/>
              </w:rPr>
            </w:pPr>
            <w:r>
              <w:rPr>
                <w:rFonts w:hint="eastAsia"/>
              </w:rPr>
              <w:t>④</w:t>
            </w:r>
            <w:r>
              <w:rPr>
                <w:rFonts w:hint="eastAsia"/>
                <w:lang w:val="en-US" w:eastAsia="zh-CN"/>
              </w:rPr>
              <w:t>360全景看机页：设备</w:t>
            </w:r>
            <w:r>
              <w:rPr>
                <w:rFonts w:hint="eastAsia"/>
              </w:rPr>
              <w:t>视角</w:t>
            </w:r>
            <w:r>
              <w:rPr>
                <w:rFonts w:hint="eastAsia"/>
                <w:lang w:val="en-US" w:eastAsia="zh-CN"/>
              </w:rPr>
              <w:t>可</w:t>
            </w:r>
            <w:r>
              <w:rPr>
                <w:rFonts w:hint="eastAsia"/>
              </w:rPr>
              <w:t>旋转</w:t>
            </w:r>
            <w:r>
              <w:rPr>
                <w:rFonts w:hint="eastAsia"/>
                <w:lang w:eastAsia="zh-CN"/>
              </w:rPr>
              <w:t>（鼠标拖拽旋转），</w:t>
            </w:r>
            <w:r>
              <w:rPr>
                <w:rFonts w:hint="eastAsia"/>
                <w:lang w:val="en-US" w:eastAsia="zh-CN"/>
              </w:rPr>
              <w:t>设置更换属具、爆炸图、</w:t>
            </w:r>
            <w:r>
              <w:rPr>
                <w:rFonts w:hint="eastAsia"/>
              </w:rPr>
              <w:t>复位等不少于4类</w:t>
            </w:r>
            <w:r>
              <w:rPr>
                <w:rFonts w:hint="eastAsia"/>
                <w:lang w:val="en-US" w:eastAsia="zh-CN"/>
              </w:rPr>
              <w:t>底部功能栏按钮</w:t>
            </w:r>
            <w:r>
              <w:rPr>
                <w:rFonts w:hint="eastAsia"/>
                <w:lang w:eastAsia="zh-CN"/>
              </w:rPr>
              <w:t>。</w:t>
            </w:r>
            <w:r>
              <w:rPr>
                <w:rFonts w:hint="eastAsia"/>
                <w:lang w:val="en-US" w:eastAsia="zh-CN"/>
              </w:rPr>
              <w:t>其中更换属具</w:t>
            </w:r>
            <w:r>
              <w:rPr>
                <w:rFonts w:hint="eastAsia"/>
              </w:rPr>
              <w:t>支持</w:t>
            </w:r>
            <w:r>
              <w:rPr>
                <w:rFonts w:hint="eastAsia"/>
                <w:lang w:val="en-US" w:eastAsia="zh-CN"/>
              </w:rPr>
              <w:t>破碎锤</w:t>
            </w:r>
            <w:r>
              <w:rPr>
                <w:rFonts w:hint="eastAsia"/>
              </w:rPr>
              <w:t>、螺旋钻机2类属具</w:t>
            </w:r>
            <w:r>
              <w:rPr>
                <w:rFonts w:hint="eastAsia"/>
                <w:lang w:val="en-US" w:eastAsia="zh-CN"/>
              </w:rPr>
              <w:t>切换并查看属具参数（悬浮信息弹窗）</w:t>
            </w:r>
            <w:r>
              <w:rPr>
                <w:rFonts w:hint="eastAsia"/>
                <w:lang w:eastAsia="zh-CN"/>
              </w:rPr>
              <w:t>，</w:t>
            </w:r>
            <w:r>
              <w:rPr>
                <w:rFonts w:hint="eastAsia"/>
                <w:lang w:val="en-US" w:eastAsia="zh-CN"/>
              </w:rPr>
              <w:t>爆炸图</w:t>
            </w:r>
            <w:r>
              <w:rPr>
                <w:rFonts w:hint="eastAsia"/>
              </w:rPr>
              <w:t>设置至少</w:t>
            </w:r>
            <w:r>
              <w:rPr>
                <w:rFonts w:hint="eastAsia"/>
                <w:lang w:val="en-US" w:eastAsia="zh-CN"/>
              </w:rPr>
              <w:t>4</w:t>
            </w:r>
            <w:r>
              <w:rPr>
                <w:rFonts w:hint="eastAsia"/>
              </w:rPr>
              <w:t>个部件独立点选</w:t>
            </w:r>
            <w:r>
              <w:rPr>
                <w:rFonts w:hint="eastAsia"/>
                <w:lang w:eastAsia="zh-CN"/>
              </w:rPr>
              <w:t>（</w:t>
            </w:r>
            <w:r>
              <w:rPr>
                <w:rFonts w:hint="eastAsia"/>
                <w:lang w:val="en-US" w:eastAsia="zh-CN"/>
              </w:rPr>
              <w:t>悬浮气泡）。</w:t>
            </w:r>
          </w:p>
          <w:p w14:paraId="3A44130A">
            <w:pPr>
              <w:numPr>
                <w:ilvl w:val="0"/>
                <w:numId w:val="3"/>
              </w:numPr>
            </w:pPr>
            <w:r>
              <w:rPr>
                <w:rFonts w:hint="eastAsia"/>
              </w:rPr>
              <w:t>完成UI界面整体视觉设计，以1920×1080为基准设计分辨率，主色采用绿色系，基准色为HEX #2E7D32（RGB 46、125、50），允许使用的主色色值范围为HSV色相100°—160°、饱和度40%—85%、明度40%—75%；明确主色、辅色和背景色的RGB或HEX色值、字体字号及控件状态，正文不小于18像素，按钮有效点击区域不小于40×40像素；各页面使用统一的配色、字体及同类控件样式，视觉设计成果经采购人审核确认后实施，并按确认稿验收</w:t>
            </w:r>
            <w:r>
              <w:rPr>
                <w:rFonts w:hint="eastAsia"/>
                <w:lang w:eastAsia="zh-CN"/>
              </w:rPr>
              <w:t>。</w:t>
            </w:r>
          </w:p>
          <w:p w14:paraId="57AEE19A">
            <w:r>
              <w:rPr>
                <w:rFonts w:hint="eastAsia"/>
                <w:b/>
                <w:bCs/>
              </w:rPr>
              <w:t>3.交付内容</w:t>
            </w:r>
            <w:r>
              <w:rPr>
                <w:rFonts w:hint="eastAsia"/>
              </w:rPr>
              <w:t>：</w:t>
            </w:r>
          </w:p>
          <w:p w14:paraId="20CCC084">
            <w:pPr>
              <w:numPr>
                <w:ilvl w:val="0"/>
                <w:numId w:val="0"/>
              </w:numPr>
              <w:rPr>
                <w:rFonts w:hint="eastAsia" w:eastAsiaTheme="minorEastAsia"/>
                <w:lang w:eastAsia="zh-CN"/>
              </w:rPr>
            </w:pPr>
            <w:r>
              <w:rPr>
                <w:rFonts w:hint="eastAsia"/>
                <w:lang w:eastAsia="zh-CN"/>
              </w:rPr>
              <w:t>（</w:t>
            </w:r>
            <w:r>
              <w:rPr>
                <w:rFonts w:hint="eastAsia"/>
                <w:lang w:val="en-US" w:eastAsia="zh-CN"/>
              </w:rPr>
              <w:t>1</w:t>
            </w:r>
            <w:r>
              <w:rPr>
                <w:rFonts w:hint="eastAsia"/>
                <w:lang w:eastAsia="zh-CN"/>
              </w:rPr>
              <w:t>）</w:t>
            </w:r>
            <w:r>
              <w:rPr>
                <w:rFonts w:hint="eastAsia"/>
              </w:rPr>
              <w:t>不少于4个页面的高保真 UI 设计稿，提供通用格式可编辑源文件（即时设计 /Illustrator等主流 UI 设计软件源文件，格式由投标人自选，保证采购人可正常打开编辑）</w:t>
            </w:r>
            <w:r>
              <w:rPr>
                <w:rFonts w:hint="eastAsia"/>
                <w:lang w:eastAsia="zh-CN"/>
              </w:rPr>
              <w:t>；</w:t>
            </w:r>
          </w:p>
          <w:p w14:paraId="07060A9D">
            <w:pPr>
              <w:numPr>
                <w:ilvl w:val="0"/>
                <w:numId w:val="0"/>
              </w:numPr>
            </w:pPr>
            <w:r>
              <w:rPr>
                <w:rFonts w:hint="eastAsia"/>
                <w:lang w:eastAsia="zh-CN"/>
              </w:rPr>
              <w:t>（</w:t>
            </w:r>
            <w:r>
              <w:rPr>
                <w:rFonts w:hint="eastAsia"/>
                <w:lang w:val="en-US" w:eastAsia="zh-CN"/>
              </w:rPr>
              <w:t>2</w:t>
            </w:r>
            <w:r>
              <w:rPr>
                <w:rFonts w:hint="eastAsia"/>
                <w:lang w:eastAsia="zh-CN"/>
              </w:rPr>
              <w:t>）</w:t>
            </w:r>
            <w:r>
              <w:rPr>
                <w:rFonts w:hint="eastAsia"/>
              </w:rPr>
              <w:t>各页面PNG预览图、所用图标及控件PNG透明背景切图、页面标注文件（含尺寸、间距、字号、色值和控件状态）；</w:t>
            </w:r>
          </w:p>
          <w:p w14:paraId="1B320319">
            <w:r>
              <w:rPr>
                <w:rFonts w:hint="eastAsia"/>
              </w:rPr>
              <w:t>（3）1份UI视觉设计规范文档（PDF及可编辑源文件，含色彩规范、字体使用规范及控件规范）；</w:t>
            </w:r>
          </w:p>
          <w:p w14:paraId="4ECDB3DD">
            <w:pPr>
              <w:rPr>
                <w:rFonts w:hint="eastAsia" w:cs="Times New Roman" w:eastAsiaTheme="minorEastAsia"/>
                <w:sz w:val="24"/>
                <w:szCs w:val="24"/>
                <w:lang w:eastAsia="zh-CN"/>
              </w:rPr>
            </w:pPr>
            <w:r>
              <w:rPr>
                <w:rFonts w:hint="eastAsia"/>
              </w:rPr>
              <w:t>（4）1份交互逻辑说明文档（PDF及可编辑源文件，含</w:t>
            </w:r>
            <w:r>
              <w:rPr>
                <w:rFonts w:hint="eastAsia"/>
                <w:lang w:val="en-US" w:eastAsia="zh-CN"/>
              </w:rPr>
              <w:t>功能结构图</w:t>
            </w:r>
            <w:r>
              <w:rPr>
                <w:rFonts w:hint="eastAsia"/>
              </w:rPr>
              <w:t>）</w:t>
            </w:r>
            <w:r>
              <w:rPr>
                <w:rFonts w:hint="eastAsia"/>
                <w:lang w:eastAsia="zh-CN"/>
              </w:rPr>
              <w:t>。</w:t>
            </w:r>
          </w:p>
        </w:tc>
        <w:tc>
          <w:tcPr>
            <w:tcW w:w="375" w:type="dxa"/>
            <w:shd w:val="clear" w:color="auto" w:fill="auto"/>
            <w:noWrap/>
          </w:tcPr>
          <w:p w14:paraId="2AE8C9CC">
            <w:r>
              <w:t>1</w:t>
            </w:r>
          </w:p>
        </w:tc>
        <w:tc>
          <w:tcPr>
            <w:tcW w:w="465" w:type="dxa"/>
            <w:shd w:val="clear" w:color="auto" w:fill="auto"/>
            <w:noWrap/>
          </w:tcPr>
          <w:p w14:paraId="50577DA8">
            <w:r>
              <w:t>项</w:t>
            </w:r>
          </w:p>
        </w:tc>
      </w:tr>
      <w:tr w14:paraId="6518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2" w:hRule="atLeast"/>
          <w:jc w:val="center"/>
        </w:trPr>
        <w:tc>
          <w:tcPr>
            <w:tcW w:w="616" w:type="dxa"/>
          </w:tcPr>
          <w:p w14:paraId="07925B8C">
            <w:pPr>
              <w:rPr>
                <w:rFonts w:ascii="Arial" w:hAnsi="Arial" w:cs="Arial"/>
                <w:kern w:val="0"/>
                <w:szCs w:val="21"/>
              </w:rPr>
            </w:pPr>
            <w:r>
              <w:t>3</w:t>
            </w:r>
          </w:p>
        </w:tc>
        <w:tc>
          <w:tcPr>
            <w:tcW w:w="851" w:type="dxa"/>
            <w:shd w:val="clear" w:color="auto" w:fill="auto"/>
            <w:noWrap/>
          </w:tcPr>
          <w:p w14:paraId="5D221465">
            <w:pPr>
              <w:jc w:val="left"/>
              <w:rPr>
                <w:rFonts w:ascii="Arial" w:hAnsi="Arial" w:cs="Arial"/>
                <w:kern w:val="0"/>
                <w:szCs w:val="21"/>
              </w:rPr>
            </w:pPr>
            <w:r>
              <w:t>交互操作录屏与演 示制作</w:t>
            </w:r>
          </w:p>
        </w:tc>
        <w:tc>
          <w:tcPr>
            <w:tcW w:w="7759" w:type="dxa"/>
            <w:shd w:val="clear" w:color="auto" w:fill="auto"/>
            <w:noWrap/>
          </w:tcPr>
          <w:p w14:paraId="52EF9864">
            <w:pPr>
              <w:numPr>
                <w:ilvl w:val="0"/>
                <w:numId w:val="4"/>
              </w:numPr>
            </w:pPr>
            <w:r>
              <w:rPr>
                <w:rFonts w:hint="eastAsia"/>
              </w:rPr>
              <w:t>对系统全功能进行高清交互录屏，录制内容须完整覆盖系统核心操作流程。</w:t>
            </w:r>
          </w:p>
          <w:p w14:paraId="16218B6C">
            <w:pPr>
              <w:numPr>
                <w:ilvl w:val="0"/>
                <w:numId w:val="4"/>
              </w:numPr>
            </w:pPr>
            <w:r>
              <w:rPr>
                <w:rFonts w:hint="eastAsia"/>
              </w:rPr>
              <w:t>包括但不限于：整机展示、360°全景查看、结构爆炸拆解、属具更换、内部构造查看、性能参数查看等。录制过程须保证画面稳定、操作流畅、重点功能演示完整</w:t>
            </w:r>
            <w:r>
              <w:rPr>
                <w:rFonts w:hint="eastAsia"/>
                <w:lang w:eastAsia="zh-CN"/>
              </w:rPr>
              <w:t>。</w:t>
            </w:r>
          </w:p>
          <w:p w14:paraId="4B506057">
            <w:pPr>
              <w:numPr>
                <w:ilvl w:val="0"/>
                <w:numId w:val="4"/>
              </w:numPr>
              <w:rPr>
                <w:b/>
                <w:bCs/>
              </w:rPr>
            </w:pPr>
            <w:r>
              <w:rPr>
                <w:rFonts w:hint="eastAsia"/>
                <w:b/>
                <w:bCs/>
              </w:rPr>
              <w:t>交付内容：</w:t>
            </w:r>
          </w:p>
          <w:p w14:paraId="7A4AE65B">
            <w:pPr>
              <w:rPr>
                <w:rFonts w:hint="eastAsia" w:eastAsiaTheme="minorEastAsia"/>
                <w:lang w:eastAsia="zh-CN"/>
              </w:rPr>
            </w:pPr>
            <w:r>
              <w:rPr>
                <w:rFonts w:hint="eastAsia"/>
              </w:rPr>
              <w:t>1份输出完整演示视频，时长不少于1分钟，其中核心操作流程完整演示部分不少于40秒；输出格式为MP4，采用H.264编码，分辨率不低于1920×1080，帧率不低于25fps，视频码率不低于8Mbps；音频采用AAC编码、采样率48kHz、码率不低于128Kbps，音画同步偏差不超过200毫秒</w:t>
            </w:r>
            <w:r>
              <w:rPr>
                <w:rFonts w:hint="eastAsia"/>
                <w:lang w:eastAsia="zh-CN"/>
              </w:rPr>
              <w:t>。</w:t>
            </w:r>
          </w:p>
        </w:tc>
        <w:tc>
          <w:tcPr>
            <w:tcW w:w="375" w:type="dxa"/>
            <w:shd w:val="clear" w:color="auto" w:fill="auto"/>
            <w:noWrap/>
          </w:tcPr>
          <w:p w14:paraId="6543EF8C">
            <w:r>
              <w:t>1</w:t>
            </w:r>
          </w:p>
        </w:tc>
        <w:tc>
          <w:tcPr>
            <w:tcW w:w="465" w:type="dxa"/>
            <w:shd w:val="clear" w:color="auto" w:fill="auto"/>
            <w:noWrap/>
          </w:tcPr>
          <w:p w14:paraId="55525F01">
            <w:r>
              <w:t>项</w:t>
            </w:r>
          </w:p>
        </w:tc>
      </w:tr>
      <w:tr w14:paraId="69BF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616" w:type="dxa"/>
          </w:tcPr>
          <w:p w14:paraId="0ED28121">
            <w:pPr>
              <w:rPr>
                <w:rFonts w:ascii="Arial" w:hAnsi="Arial" w:cs="Arial"/>
                <w:kern w:val="0"/>
                <w:szCs w:val="21"/>
              </w:rPr>
            </w:pPr>
            <w:r>
              <w:t>4</w:t>
            </w:r>
          </w:p>
        </w:tc>
        <w:tc>
          <w:tcPr>
            <w:tcW w:w="851" w:type="dxa"/>
            <w:shd w:val="clear" w:color="auto" w:fill="auto"/>
            <w:noWrap/>
          </w:tcPr>
          <w:p w14:paraId="534BE6D3">
            <w:pPr>
              <w:jc w:val="left"/>
              <w:rPr>
                <w:rFonts w:ascii="Arial" w:hAnsi="Arial" w:cs="Arial"/>
                <w:kern w:val="0"/>
                <w:szCs w:val="21"/>
              </w:rPr>
            </w:pPr>
            <w:r>
              <w:t>视频剪辑与后期包 装</w:t>
            </w:r>
          </w:p>
        </w:tc>
        <w:tc>
          <w:tcPr>
            <w:tcW w:w="7759" w:type="dxa"/>
            <w:shd w:val="clear" w:color="auto" w:fill="auto"/>
            <w:noWrap/>
          </w:tcPr>
          <w:p w14:paraId="5A9D359D">
            <w:pPr>
              <w:numPr>
                <w:ilvl w:val="0"/>
                <w:numId w:val="5"/>
              </w:numPr>
              <w:rPr>
                <w:rFonts w:hint="eastAsia"/>
                <w:lang w:val="en-US" w:eastAsia="zh-CN"/>
              </w:rPr>
            </w:pPr>
            <w:r>
              <w:rPr>
                <w:rFonts w:hint="eastAsia"/>
                <w:lang w:val="en-US" w:eastAsia="zh-CN"/>
              </w:rPr>
              <w:t>制作内容</w:t>
            </w:r>
          </w:p>
          <w:p w14:paraId="50E8AC0A">
            <w:pPr>
              <w:numPr>
                <w:ilvl w:val="0"/>
                <w:numId w:val="6"/>
              </w:numPr>
              <w:rPr>
                <w:rFonts w:hint="eastAsia"/>
              </w:rPr>
            </w:pPr>
            <w:r>
              <w:rPr>
                <w:rFonts w:hint="eastAsia"/>
              </w:rPr>
              <w:t>制作5个标准化教学视频，每个视频时长3-5分钟（含片头片尾）；</w:t>
            </w:r>
          </w:p>
          <w:p w14:paraId="040142F5">
            <w:pPr>
              <w:numPr>
                <w:ilvl w:val="0"/>
                <w:numId w:val="6"/>
              </w:numPr>
            </w:pPr>
            <w:r>
              <w:rPr>
                <w:rFonts w:hint="eastAsia"/>
              </w:rPr>
              <w:t>每个视频围绕1个教学主题，按学习目标、操作步骤、结果与要点总结组织内容，包含3-8秒片头以及3</w:t>
            </w:r>
            <w:r>
              <w:t>-8</w:t>
            </w:r>
            <w:r>
              <w:rPr>
                <w:rFonts w:hint="eastAsia"/>
              </w:rPr>
              <w:t>秒片尾、中文字幕、普通话配音及片尾；</w:t>
            </w:r>
          </w:p>
          <w:p w14:paraId="5A122477">
            <w:pPr>
              <w:numPr>
                <w:ilvl w:val="0"/>
                <w:numId w:val="6"/>
              </w:numPr>
            </w:pPr>
            <w:r>
              <w:rPr>
                <w:rFonts w:hint="eastAsia"/>
              </w:rPr>
              <w:t>每个视频至少包含1处片头动画、2处转场效果及1处重点标注（箭头、框选或高亮），合计不少于4处包装效果；</w:t>
            </w:r>
          </w:p>
          <w:p w14:paraId="2024D805">
            <w:pPr>
              <w:numPr>
                <w:ilvl w:val="0"/>
                <w:numId w:val="6"/>
              </w:numPr>
            </w:pPr>
            <w:r>
              <w:rPr>
                <w:rFonts w:hint="eastAsia"/>
              </w:rPr>
              <w:t>字幕须采用与语音同步的逐句字幕，逐字覆盖全部语音讲解（标点按书面表达规范处理），不得漏字、错字；字幕显示起止时间与对应语音的偏差不超过200毫秒，按确认的配音稿逐句核对，文字准确率须为100%，术语与参数须与确认的脚本及系统内容一致</w:t>
            </w:r>
            <w:r>
              <w:rPr>
                <w:rFonts w:hint="eastAsia"/>
                <w:lang w:eastAsia="zh-CN"/>
              </w:rPr>
              <w:t>；</w:t>
            </w:r>
          </w:p>
          <w:p w14:paraId="44B96AB7">
            <w:r>
              <w:rPr>
                <w:rFonts w:hint="eastAsia"/>
                <w:lang w:eastAsia="zh-CN"/>
              </w:rPr>
              <w:t>（</w:t>
            </w:r>
            <w:r>
              <w:rPr>
                <w:rFonts w:hint="eastAsia"/>
                <w:lang w:val="en-US" w:eastAsia="zh-CN"/>
              </w:rPr>
              <w:t>5</w:t>
            </w:r>
            <w:r>
              <w:rPr>
                <w:rFonts w:hint="eastAsia"/>
                <w:lang w:eastAsia="zh-CN"/>
              </w:rPr>
              <w:t>）</w:t>
            </w:r>
            <w:r>
              <w:rPr>
                <w:rFonts w:hint="eastAsia"/>
              </w:rPr>
              <w:t>按知识点对上述教学视频进行颗粒化拆解，合计拆解出至少6个知识颗粒片段，每个1-3分钟，每段须有知识点标题及完整操作或讲解，分别交付并不可替代完整教学视频。</w:t>
            </w:r>
          </w:p>
          <w:p w14:paraId="47D1BDC5">
            <w:pPr>
              <w:rPr>
                <w:rFonts w:hint="eastAsia"/>
              </w:rPr>
            </w:pPr>
            <w:r>
              <w:rPr>
                <w:rFonts w:hint="eastAsia"/>
                <w:lang w:val="en-US" w:eastAsia="zh-CN"/>
              </w:rPr>
              <w:t>2</w:t>
            </w:r>
            <w:r>
              <w:rPr>
                <w:rFonts w:hint="eastAsia"/>
              </w:rPr>
              <w:t>.</w:t>
            </w:r>
            <w:r>
              <w:t>完整教学正片、知识颗粒片段</w:t>
            </w:r>
            <w:r>
              <w:rPr>
                <w:rFonts w:hint="eastAsia"/>
              </w:rPr>
              <w:t>制作标准</w:t>
            </w:r>
          </w:p>
          <w:p w14:paraId="280DC49F">
            <w:pPr>
              <w:rPr>
                <w:rFonts w:hint="eastAsia" w:eastAsiaTheme="minorEastAsia"/>
                <w:lang w:eastAsia="zh-CN"/>
              </w:rPr>
            </w:pPr>
            <w:r>
              <w:rPr>
                <w:rFonts w:hint="eastAsia"/>
                <w:lang w:eastAsia="zh-CN"/>
              </w:rPr>
              <w:t>（</w:t>
            </w:r>
            <w:r>
              <w:rPr>
                <w:rFonts w:hint="eastAsia"/>
                <w:lang w:val="en-US" w:eastAsia="zh-CN"/>
              </w:rPr>
              <w:t>1</w:t>
            </w:r>
            <w:r>
              <w:rPr>
                <w:rFonts w:hint="eastAsia"/>
                <w:lang w:eastAsia="zh-CN"/>
              </w:rPr>
              <w:t>）</w:t>
            </w:r>
            <w:r>
              <w:t>视频封装MP4</w:t>
            </w:r>
            <w:r>
              <w:rPr>
                <w:rFonts w:hint="eastAsia"/>
                <w:lang w:eastAsia="zh-CN"/>
              </w:rPr>
              <w:t>，</w:t>
            </w:r>
            <w:r>
              <w:t>编码 H.264；分辨率≥1920×1080；帧率≥25fps；视频码率≥8Mbps； 音频编码：AAC，采样率 48kHz，音频码率≥128Kbps；音画同步偏差≤200ms</w:t>
            </w:r>
            <w:r>
              <w:rPr>
                <w:rFonts w:hint="eastAsia"/>
                <w:lang w:eastAsia="zh-CN"/>
              </w:rPr>
              <w:t>；</w:t>
            </w:r>
          </w:p>
          <w:p w14:paraId="0316E23C">
            <w:r>
              <w:rPr>
                <w:rFonts w:hint="eastAsia"/>
                <w:lang w:eastAsia="zh-CN"/>
              </w:rPr>
              <w:t>（</w:t>
            </w:r>
            <w:r>
              <w:rPr>
                <w:rFonts w:hint="eastAsia"/>
                <w:lang w:val="en-US" w:eastAsia="zh-CN"/>
              </w:rPr>
              <w:t>2</w:t>
            </w:r>
            <w:r>
              <w:rPr>
                <w:rFonts w:hint="eastAsia"/>
                <w:lang w:eastAsia="zh-CN"/>
              </w:rPr>
              <w:t>）</w:t>
            </w:r>
            <w:r>
              <w:t>文件命名规则：序号</w:t>
            </w:r>
            <w:r>
              <w:rPr>
                <w:rFonts w:hint="eastAsia"/>
                <w:lang w:val="en-US" w:eastAsia="zh-CN"/>
              </w:rPr>
              <w:t>-</w:t>
            </w:r>
            <w:r>
              <w:t>课程模块</w:t>
            </w:r>
            <w:r>
              <w:rPr>
                <w:rFonts w:hint="eastAsia"/>
                <w:lang w:val="en-US" w:eastAsia="zh-CN"/>
              </w:rPr>
              <w:t>-</w:t>
            </w:r>
            <w:r>
              <w:t>知识点</w:t>
            </w:r>
            <w:r>
              <w:rPr>
                <w:rFonts w:hint="eastAsia"/>
                <w:lang w:val="en-US" w:eastAsia="zh-CN"/>
              </w:rPr>
              <w:t>-</w:t>
            </w:r>
            <w:r>
              <w:t>版本号；目录分级存放，分为【完整教学视频】、【知识颗粒片段】两个独立文件夹。</w:t>
            </w:r>
          </w:p>
          <w:p w14:paraId="5E9E77B9">
            <w:r>
              <w:rPr>
                <w:rFonts w:hint="eastAsia"/>
                <w:lang w:eastAsia="zh-CN"/>
              </w:rPr>
              <w:t>（</w:t>
            </w:r>
            <w:r>
              <w:rPr>
                <w:rFonts w:hint="eastAsia"/>
                <w:lang w:val="en-US" w:eastAsia="zh-CN"/>
              </w:rPr>
              <w:t>3</w:t>
            </w:r>
            <w:r>
              <w:rPr>
                <w:rFonts w:hint="eastAsia"/>
                <w:lang w:eastAsia="zh-CN"/>
              </w:rPr>
              <w:t>）</w:t>
            </w:r>
            <w:r>
              <w:rPr>
                <w:rFonts w:hint="eastAsia"/>
              </w:rPr>
              <w:t>配音、背景音乐、特效素材需具备商用授权，成品著作权归采购人。</w:t>
            </w:r>
          </w:p>
          <w:p w14:paraId="476F0549">
            <w:pPr>
              <w:rPr>
                <w:rFonts w:hint="eastAsia"/>
                <w:lang w:val="en-US" w:eastAsia="zh-CN"/>
              </w:rPr>
            </w:pPr>
            <w:r>
              <w:rPr>
                <w:rFonts w:hint="eastAsia"/>
                <w:b/>
                <w:bCs/>
                <w:lang w:val="en-US" w:eastAsia="zh-CN"/>
              </w:rPr>
              <w:t>3.交付内容</w:t>
            </w:r>
            <w:r>
              <w:rPr>
                <w:rFonts w:hint="eastAsia"/>
                <w:lang w:val="en-US" w:eastAsia="zh-CN"/>
              </w:rPr>
              <w:t>：</w:t>
            </w:r>
          </w:p>
          <w:p w14:paraId="5842734F">
            <w:r>
              <w:rPr>
                <w:rFonts w:hint="eastAsia"/>
                <w:lang w:val="en-US" w:eastAsia="zh-CN"/>
              </w:rPr>
              <w:t>（1）</w:t>
            </w:r>
            <w:r>
              <w:t>完整视频</w:t>
            </w:r>
            <w:r>
              <w:rPr>
                <w:rFonts w:hint="eastAsia"/>
                <w:lang w:val="en-US" w:eastAsia="zh-CN"/>
              </w:rPr>
              <w:t>5个</w:t>
            </w:r>
            <w:r>
              <w:rPr>
                <w:rFonts w:hint="eastAsia"/>
                <w:lang w:eastAsia="zh-CN"/>
              </w:rPr>
              <w:t>、</w:t>
            </w:r>
            <w:r>
              <w:t>颗粒片段</w:t>
            </w:r>
            <w:r>
              <w:rPr>
                <w:rFonts w:hint="eastAsia"/>
                <w:lang w:val="en-US" w:eastAsia="zh-CN"/>
              </w:rPr>
              <w:t>6个</w:t>
            </w:r>
            <w:r>
              <w:t xml:space="preserve">教学视频文件； </w:t>
            </w:r>
          </w:p>
          <w:p w14:paraId="6DB83133">
            <w:r>
              <w:rPr>
                <w:rFonts w:hint="eastAsia"/>
                <w:lang w:eastAsia="zh-CN"/>
              </w:rPr>
              <w:t>（</w:t>
            </w:r>
            <w:r>
              <w:rPr>
                <w:rFonts w:hint="eastAsia"/>
                <w:lang w:val="en-US" w:eastAsia="zh-CN"/>
              </w:rPr>
              <w:t>2</w:t>
            </w:r>
            <w:r>
              <w:rPr>
                <w:rFonts w:hint="eastAsia"/>
                <w:lang w:eastAsia="zh-CN"/>
              </w:rPr>
              <w:t>）</w:t>
            </w:r>
            <w:r>
              <w:t>视频同名、UTF-8 编码的 SRT 字幕文件；</w:t>
            </w:r>
          </w:p>
          <w:p w14:paraId="2D846E62">
            <w:r>
              <w:rPr>
                <w:rFonts w:hint="eastAsia"/>
                <w:lang w:eastAsia="zh-CN"/>
              </w:rPr>
              <w:t>（</w:t>
            </w:r>
            <w:r>
              <w:rPr>
                <w:rFonts w:hint="eastAsia"/>
                <w:lang w:val="en-US" w:eastAsia="zh-CN"/>
              </w:rPr>
              <w:t>3</w:t>
            </w:r>
            <w:r>
              <w:rPr>
                <w:rFonts w:hint="eastAsia"/>
                <w:lang w:eastAsia="zh-CN"/>
              </w:rPr>
              <w:t>）</w:t>
            </w:r>
            <w:r>
              <w:t>资源目录清单</w:t>
            </w:r>
            <w:r>
              <w:rPr>
                <w:rFonts w:hint="eastAsia"/>
                <w:lang w:val="en-US" w:eastAsia="zh-CN"/>
              </w:rPr>
              <w:t>1份</w:t>
            </w:r>
            <w:r>
              <w:t>；</w:t>
            </w:r>
          </w:p>
          <w:p w14:paraId="5DC800D9">
            <w:pPr>
              <w:rPr>
                <w:rFonts w:cs="Times New Roman"/>
                <w:sz w:val="24"/>
                <w:szCs w:val="24"/>
              </w:rPr>
            </w:pPr>
            <w:r>
              <w:rPr>
                <w:rFonts w:hint="eastAsia"/>
                <w:lang w:eastAsia="zh-CN"/>
              </w:rPr>
              <w:t>（</w:t>
            </w:r>
            <w:r>
              <w:rPr>
                <w:rFonts w:hint="eastAsia"/>
                <w:lang w:val="en-US" w:eastAsia="zh-CN"/>
              </w:rPr>
              <w:t>4</w:t>
            </w:r>
            <w:r>
              <w:rPr>
                <w:rFonts w:hint="eastAsia"/>
                <w:lang w:eastAsia="zh-CN"/>
              </w:rPr>
              <w:t>）</w:t>
            </w:r>
            <w:r>
              <w:t>媒体参数检测记录表</w:t>
            </w:r>
            <w:r>
              <w:rPr>
                <w:rFonts w:hint="eastAsia"/>
                <w:lang w:val="en-US" w:eastAsia="zh-CN"/>
              </w:rPr>
              <w:t>1份</w:t>
            </w:r>
            <w:r>
              <w:t>。</w:t>
            </w:r>
          </w:p>
        </w:tc>
        <w:tc>
          <w:tcPr>
            <w:tcW w:w="375" w:type="dxa"/>
            <w:shd w:val="clear" w:color="auto" w:fill="auto"/>
            <w:noWrap/>
          </w:tcPr>
          <w:p w14:paraId="7B45C090">
            <w:r>
              <w:t>1</w:t>
            </w:r>
          </w:p>
        </w:tc>
        <w:tc>
          <w:tcPr>
            <w:tcW w:w="465" w:type="dxa"/>
            <w:shd w:val="clear" w:color="auto" w:fill="auto"/>
            <w:noWrap/>
          </w:tcPr>
          <w:p w14:paraId="2120AB25">
            <w:r>
              <w:t>项</w:t>
            </w:r>
          </w:p>
        </w:tc>
      </w:tr>
      <w:tr w14:paraId="199A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616" w:type="dxa"/>
          </w:tcPr>
          <w:p w14:paraId="4D236A42">
            <w:pPr>
              <w:rPr>
                <w:rFonts w:ascii="Arial" w:hAnsi="Arial" w:cs="Arial"/>
                <w:kern w:val="0"/>
                <w:szCs w:val="21"/>
              </w:rPr>
            </w:pPr>
            <w:r>
              <w:t>5</w:t>
            </w:r>
          </w:p>
        </w:tc>
        <w:tc>
          <w:tcPr>
            <w:tcW w:w="851" w:type="dxa"/>
            <w:shd w:val="clear" w:color="auto" w:fill="auto"/>
            <w:noWrap/>
          </w:tcPr>
          <w:p w14:paraId="53EBBB42">
            <w:pPr>
              <w:rPr>
                <w:rFonts w:ascii="Arial" w:hAnsi="Arial" w:cs="Arial"/>
                <w:kern w:val="0"/>
                <w:szCs w:val="21"/>
              </w:rPr>
            </w:pPr>
            <w:r>
              <w:t>项目管理与技术支 持</w:t>
            </w:r>
          </w:p>
        </w:tc>
        <w:tc>
          <w:tcPr>
            <w:tcW w:w="7759" w:type="dxa"/>
            <w:shd w:val="clear" w:color="auto" w:fill="auto"/>
            <w:noWrap/>
          </w:tcPr>
          <w:p w14:paraId="1894C10D">
            <w:pPr>
              <w:numPr>
                <w:ilvl w:val="0"/>
                <w:numId w:val="7"/>
              </w:numPr>
            </w:pPr>
            <w:r>
              <w:rPr>
                <w:rFonts w:hint="eastAsia"/>
              </w:rPr>
              <w:t>提供项目全过程管理服务，包含需求对接、进度汇报、阶段评审及成果验收：合同签订之日起5日内双方整理需求对接并提交需求确认单和实施计划；</w:t>
            </w:r>
          </w:p>
          <w:p w14:paraId="7AAE0E55">
            <w:pPr>
              <w:numPr>
                <w:ilvl w:val="0"/>
                <w:numId w:val="7"/>
              </w:numPr>
              <w:rPr>
                <w:rFonts w:cs="Times New Roman"/>
                <w:sz w:val="24"/>
                <w:szCs w:val="24"/>
              </w:rPr>
            </w:pPr>
            <w:r>
              <w:rPr>
                <w:rFonts w:hint="eastAsia"/>
              </w:rPr>
              <w:t>每周至少提交1份书面进度报告，列明已完成工作、下周计划、问题及处理措施；</w:t>
            </w:r>
          </w:p>
          <w:p w14:paraId="58B462C9">
            <w:pPr>
              <w:numPr>
                <w:ilvl w:val="0"/>
                <w:numId w:val="7"/>
              </w:numPr>
              <w:rPr>
                <w:rFonts w:hint="eastAsia" w:cs="Times New Roman"/>
                <w:sz w:val="24"/>
                <w:szCs w:val="24"/>
              </w:rPr>
            </w:pPr>
            <w:r>
              <w:rPr>
                <w:rFonts w:hint="eastAsia"/>
              </w:rPr>
              <w:t>至少组织3次阶段评审会议，节点为需求与设计方案确认、交互系统开发完成、教学视频成片完成，每次提交会议纪要、评审意见及整改记录</w:t>
            </w:r>
            <w:r>
              <w:rPr>
                <w:rFonts w:hint="eastAsia"/>
                <w:lang w:eastAsia="zh-CN"/>
              </w:rPr>
              <w:t>。</w:t>
            </w:r>
          </w:p>
        </w:tc>
        <w:tc>
          <w:tcPr>
            <w:tcW w:w="375" w:type="dxa"/>
            <w:shd w:val="clear" w:color="auto" w:fill="auto"/>
            <w:noWrap/>
          </w:tcPr>
          <w:p w14:paraId="547CB9F3">
            <w:r>
              <w:t>1</w:t>
            </w:r>
          </w:p>
        </w:tc>
        <w:tc>
          <w:tcPr>
            <w:tcW w:w="465" w:type="dxa"/>
            <w:shd w:val="clear" w:color="auto" w:fill="auto"/>
            <w:noWrap/>
          </w:tcPr>
          <w:p w14:paraId="2191B657">
            <w:r>
              <w:t>项</w:t>
            </w:r>
          </w:p>
        </w:tc>
      </w:tr>
      <w:tr w14:paraId="26FB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467" w:type="dxa"/>
            <w:gridSpan w:val="2"/>
            <w:vAlign w:val="center"/>
          </w:tcPr>
          <w:p w14:paraId="6FB1BEA5">
            <w:pPr>
              <w:widowControl/>
              <w:jc w:val="center"/>
              <w:rPr>
                <w:rFonts w:ascii="Arial" w:hAnsi="Arial" w:cs="Arial"/>
                <w:color w:val="FF0000"/>
                <w:kern w:val="0"/>
                <w:szCs w:val="21"/>
              </w:rPr>
            </w:pPr>
            <w:r>
              <w:rPr>
                <w:rFonts w:ascii="Arial" w:hAnsi="Arial" w:cs="Arial"/>
                <w:kern w:val="0"/>
                <w:szCs w:val="21"/>
              </w:rPr>
              <w:t>商务要求</w:t>
            </w:r>
          </w:p>
        </w:tc>
        <w:tc>
          <w:tcPr>
            <w:tcW w:w="8599" w:type="dxa"/>
            <w:gridSpan w:val="3"/>
            <w:shd w:val="clear" w:color="auto" w:fill="auto"/>
            <w:noWrap/>
          </w:tcPr>
          <w:p w14:paraId="19E1D658">
            <w:pPr>
              <w:spacing w:line="360" w:lineRule="auto"/>
              <w:jc w:val="left"/>
              <w:rPr>
                <w:rFonts w:cs="Times New Roman"/>
                <w:szCs w:val="21"/>
              </w:rPr>
            </w:pPr>
            <w:r>
              <w:rPr>
                <w:rFonts w:hint="eastAsia" w:cs="Times New Roman"/>
                <w:szCs w:val="21"/>
              </w:rPr>
              <w:t>1.</w:t>
            </w:r>
            <w:r>
              <w:rPr>
                <w:rFonts w:hint="eastAsia" w:cs="Times New Roman"/>
                <w:b/>
                <w:bCs/>
                <w:szCs w:val="21"/>
              </w:rPr>
              <w:t>服务交付时间</w:t>
            </w:r>
            <w:r>
              <w:rPr>
                <w:rFonts w:hint="eastAsia" w:cs="Times New Roman"/>
                <w:szCs w:val="21"/>
              </w:rPr>
              <w:t>：签订合同之日起</w:t>
            </w:r>
            <w:r>
              <w:rPr>
                <w:rFonts w:hint="eastAsia" w:cs="Times New Roman"/>
                <w:b/>
                <w:bCs/>
                <w:szCs w:val="21"/>
                <w:u w:val="single"/>
              </w:rPr>
              <w:t>60日内</w:t>
            </w:r>
            <w:r>
              <w:rPr>
                <w:rFonts w:hint="eastAsia" w:cs="Times New Roman"/>
                <w:szCs w:val="21"/>
              </w:rPr>
              <w:t>验收合格并交付所有服务内容。</w:t>
            </w:r>
          </w:p>
          <w:p w14:paraId="5B7D157B">
            <w:pPr>
              <w:spacing w:line="360" w:lineRule="auto"/>
              <w:jc w:val="left"/>
              <w:rPr>
                <w:rFonts w:cs="Times New Roman"/>
                <w:szCs w:val="21"/>
              </w:rPr>
            </w:pPr>
            <w:r>
              <w:rPr>
                <w:rFonts w:hint="eastAsia" w:cs="Times New Roman"/>
                <w:b/>
                <w:bCs/>
                <w:szCs w:val="21"/>
              </w:rPr>
              <w:t>服务期</w:t>
            </w:r>
            <w:r>
              <w:rPr>
                <w:rFonts w:hint="eastAsia" w:cs="Times New Roman"/>
                <w:szCs w:val="21"/>
              </w:rPr>
              <w:t>：自整体服务内容验收合格并交付使用之日起</w:t>
            </w:r>
            <w:r>
              <w:rPr>
                <w:rFonts w:hint="eastAsia" w:cs="Times New Roman"/>
                <w:b/>
                <w:bCs/>
                <w:szCs w:val="21"/>
                <w:u w:val="single"/>
              </w:rPr>
              <w:t xml:space="preserve"> 1年</w:t>
            </w:r>
            <w:r>
              <w:rPr>
                <w:rFonts w:hint="eastAsia" w:cs="Times New Roman"/>
                <w:szCs w:val="21"/>
              </w:rPr>
              <w:t>。</w:t>
            </w:r>
          </w:p>
          <w:p w14:paraId="5E7FCB34">
            <w:pPr>
              <w:pStyle w:val="7"/>
              <w:numPr>
                <w:ilvl w:val="0"/>
                <w:numId w:val="5"/>
              </w:numPr>
              <w:ind w:left="0" w:leftChars="0" w:firstLine="0" w:firstLineChars="0"/>
              <w:rPr>
                <w:rFonts w:hint="eastAsia" w:cs="Times New Roman"/>
                <w:szCs w:val="21"/>
              </w:rPr>
            </w:pPr>
            <w:r>
              <w:rPr>
                <w:rFonts w:hint="eastAsia" w:cs="Times New Roman"/>
                <w:szCs w:val="21"/>
              </w:rPr>
              <w:t>技术支持和服务要求</w:t>
            </w:r>
          </w:p>
          <w:p w14:paraId="449D3338">
            <w:pPr>
              <w:pStyle w:val="7"/>
              <w:numPr>
                <w:ilvl w:val="0"/>
                <w:numId w:val="0"/>
              </w:numPr>
              <w:ind w:leftChars="0"/>
              <w:rPr>
                <w:rFonts w:ascii="宋体" w:hAnsi="宋体"/>
                <w:kern w:val="0"/>
              </w:rPr>
            </w:pPr>
            <w:r>
              <w:rPr>
                <w:rFonts w:hint="eastAsia" w:ascii="宋体" w:hAnsi="宋体"/>
                <w:kern w:val="0"/>
              </w:rPr>
              <w:t>（1）</w:t>
            </w:r>
            <w:r>
              <w:rPr>
                <w:rFonts w:hint="eastAsia" w:ascii="宋体" w:hAnsi="宋体"/>
                <w:kern w:val="0"/>
                <w:lang w:val="en-US" w:eastAsia="zh-CN"/>
              </w:rPr>
              <w:t>所有</w:t>
            </w:r>
            <w:r>
              <w:rPr>
                <w:rFonts w:hint="eastAsia" w:ascii="宋体" w:hAnsi="宋体"/>
                <w:kern w:val="0"/>
              </w:rPr>
              <w:t>项目完成后交付内容一式两份用U盘或移动硬盘拷贝后交付，U盘或移动硬盘（必须是带原厂正规包装且原厂质保期不低于三年，接口为USB3.0及以上），否则不予接收。拷贝内容必须包括满足合同约定的最终成品文件、双方确认的过程原始文件、使用的第三方素材文件及出处。并分目录存放，否则不予验收。</w:t>
            </w:r>
          </w:p>
          <w:p w14:paraId="06FBDB3E">
            <w:pPr>
              <w:snapToGrid w:val="0"/>
              <w:spacing w:line="276" w:lineRule="auto"/>
              <w:rPr>
                <w:rFonts w:ascii="宋体" w:hAnsi="宋体"/>
                <w:kern w:val="0"/>
              </w:rPr>
            </w:pPr>
            <w:r>
              <w:rPr>
                <w:rFonts w:hint="eastAsia" w:ascii="宋体" w:hAnsi="宋体"/>
                <w:kern w:val="0"/>
                <w:lang w:eastAsia="zh-CN"/>
              </w:rPr>
              <w:t>（</w:t>
            </w:r>
            <w:r>
              <w:rPr>
                <w:rFonts w:hint="eastAsia" w:ascii="宋体" w:hAnsi="宋体"/>
                <w:kern w:val="0"/>
                <w:lang w:val="en-US" w:eastAsia="zh-CN"/>
              </w:rPr>
              <w:t>2</w:t>
            </w:r>
            <w:r>
              <w:rPr>
                <w:rFonts w:hint="eastAsia" w:ascii="宋体" w:hAnsi="宋体"/>
                <w:kern w:val="0"/>
                <w:lang w:eastAsia="zh-CN"/>
              </w:rPr>
              <w:t>）</w:t>
            </w:r>
            <w:r>
              <w:rPr>
                <w:rFonts w:hint="eastAsia" w:ascii="宋体" w:hAnsi="宋体"/>
                <w:kern w:val="0"/>
              </w:rPr>
              <w:t>本</w:t>
            </w:r>
            <w:r>
              <w:rPr>
                <w:rFonts w:ascii="宋体" w:hAnsi="宋体"/>
                <w:kern w:val="0"/>
              </w:rPr>
              <w:t>项目所提供的全部货物（含硬件、软件及服务）必须完全满足</w:t>
            </w:r>
            <w:r>
              <w:rPr>
                <w:rFonts w:hint="eastAsia" w:ascii="宋体" w:hAnsi="宋体"/>
                <w:kern w:val="0"/>
              </w:rPr>
              <w:t>报价</w:t>
            </w:r>
            <w:r>
              <w:rPr>
                <w:rFonts w:ascii="宋体" w:hAnsi="宋体"/>
                <w:kern w:val="0"/>
              </w:rPr>
              <w:t>文件所述要求，如中标</w:t>
            </w:r>
            <w:r>
              <w:rPr>
                <w:rFonts w:hint="eastAsia" w:ascii="宋体" w:hAnsi="宋体"/>
                <w:kern w:val="0"/>
              </w:rPr>
              <w:t>报价人</w:t>
            </w:r>
            <w:r>
              <w:rPr>
                <w:rFonts w:ascii="宋体" w:hAnsi="宋体"/>
                <w:kern w:val="0"/>
              </w:rPr>
              <w:t>在</w:t>
            </w:r>
            <w:r>
              <w:rPr>
                <w:rFonts w:hint="eastAsia" w:ascii="宋体" w:hAnsi="宋体"/>
                <w:kern w:val="0"/>
              </w:rPr>
              <w:t>报价</w:t>
            </w:r>
            <w:r>
              <w:rPr>
                <w:rFonts w:ascii="宋体" w:hAnsi="宋体"/>
                <w:kern w:val="0"/>
              </w:rPr>
              <w:t>文件中有承诺正偏离的应按其正偏离内容执行。</w:t>
            </w:r>
          </w:p>
          <w:p w14:paraId="483B9373">
            <w:pPr>
              <w:pStyle w:val="7"/>
              <w:rPr>
                <w:rFonts w:hint="eastAsia" w:cs="Times New Roman" w:eastAsiaTheme="minorEastAsia"/>
                <w:szCs w:val="21"/>
                <w:lang w:val="en-US" w:eastAsia="zh-CN"/>
              </w:rPr>
            </w:pPr>
            <w:r>
              <w:rPr>
                <w:rFonts w:hint="eastAsia" w:ascii="宋体" w:hAnsi="宋体"/>
                <w:kern w:val="0"/>
              </w:rPr>
              <w:t>（3）</w:t>
            </w:r>
            <w:r>
              <w:rPr>
                <w:rFonts w:hint="eastAsia" w:cs="Times New Roman"/>
                <w:szCs w:val="21"/>
              </w:rPr>
              <w:t>电话、线上咨询。报价人为采购人提供技术援助，解答采购人在使用中遇到的问题，及时为采购人提出解决问题的方案。提供7*24小时售后服务，并提供售后服务电话，出现技术故障应在接到故障通知起1小时内响应，一般问题2小时内通过远程方式解决；遇到大的问题，在接到报修通知后4小时内派技术人员到达现场排除故障，确保课程正常运行</w:t>
            </w:r>
            <w:r>
              <w:rPr>
                <w:rFonts w:hint="eastAsia" w:cs="Times New Roman"/>
                <w:szCs w:val="21"/>
                <w:lang w:eastAsia="zh-CN"/>
              </w:rPr>
              <w:t>。</w:t>
            </w:r>
          </w:p>
          <w:p w14:paraId="65C4418D">
            <w:pPr>
              <w:snapToGrid w:val="0"/>
              <w:spacing w:line="276" w:lineRule="auto"/>
              <w:rPr>
                <w:rFonts w:cs="Times New Roman"/>
                <w:szCs w:val="21"/>
              </w:rPr>
            </w:pPr>
            <w:r>
              <w:rPr>
                <w:rFonts w:hint="eastAsia" w:ascii="宋体" w:hAnsi="宋体"/>
                <w:kern w:val="0"/>
              </w:rPr>
              <w:t>（4）</w:t>
            </w:r>
            <w:r>
              <w:rPr>
                <w:rFonts w:ascii="宋体" w:hAnsi="宋体"/>
                <w:kern w:val="0"/>
              </w:rPr>
              <w:t>本项目</w:t>
            </w:r>
            <w:r>
              <w:rPr>
                <w:rFonts w:hint="eastAsia" w:ascii="宋体" w:hAnsi="宋体"/>
                <w:kern w:val="0"/>
              </w:rPr>
              <w:t>如有</w:t>
            </w:r>
            <w:r>
              <w:rPr>
                <w:rFonts w:ascii="宋体" w:hAnsi="宋体"/>
                <w:kern w:val="0"/>
              </w:rPr>
              <w:t>软件（</w:t>
            </w:r>
            <w:r>
              <w:rPr>
                <w:rFonts w:hint="eastAsia" w:ascii="宋体" w:hAnsi="宋体"/>
                <w:kern w:val="0"/>
              </w:rPr>
              <w:t>不包括随机出厂预装</w:t>
            </w:r>
            <w:r>
              <w:rPr>
                <w:rFonts w:ascii="宋体" w:hAnsi="宋体"/>
                <w:kern w:val="0"/>
              </w:rPr>
              <w:t>）</w:t>
            </w:r>
            <w:r>
              <w:rPr>
                <w:rFonts w:hint="eastAsia" w:ascii="宋体" w:hAnsi="宋体"/>
                <w:kern w:val="0"/>
              </w:rPr>
              <w:t>除安装在采购人本地服务器（计算机）上，还必须一式两份用U盘或移动硬盘（接口USB3.0以上质保期不低于三年）将软件安装包、软件使用说明书、技术文档、软件常规操作录屏分目录存放，验收前一并交付给采购人。</w:t>
            </w:r>
            <w:r>
              <w:rPr>
                <w:rFonts w:ascii="宋体" w:hAnsi="宋体"/>
                <w:kern w:val="0"/>
              </w:rPr>
              <w:t>在本项目合同约定的质保期过后，</w:t>
            </w:r>
            <w:r>
              <w:rPr>
                <w:rFonts w:hint="eastAsia" w:ascii="宋体" w:hAnsi="宋体"/>
                <w:kern w:val="0"/>
              </w:rPr>
              <w:t>中标报价人</w:t>
            </w:r>
            <w:r>
              <w:rPr>
                <w:rFonts w:ascii="宋体" w:hAnsi="宋体"/>
                <w:kern w:val="0"/>
              </w:rPr>
              <w:t>需确保该软件其功能仍与交付验收时一致不受限制</w:t>
            </w:r>
            <w:r>
              <w:rPr>
                <w:rFonts w:hint="eastAsia" w:ascii="宋体" w:hAnsi="宋体"/>
                <w:kern w:val="0"/>
              </w:rPr>
              <w:t>或减少</w:t>
            </w:r>
            <w:r>
              <w:rPr>
                <w:rFonts w:ascii="宋体" w:hAnsi="宋体"/>
                <w:kern w:val="0"/>
              </w:rPr>
              <w:t>（如合同另有约定的按合同约定），质保期过后如需对软件进行升级或售后服务双方再行协商。</w:t>
            </w:r>
          </w:p>
          <w:p w14:paraId="32BF65ED">
            <w:pPr>
              <w:snapToGrid w:val="0"/>
              <w:spacing w:line="276" w:lineRule="auto"/>
              <w:rPr>
                <w:rFonts w:ascii="宋体" w:hAnsi="宋体"/>
                <w:kern w:val="0"/>
              </w:rPr>
            </w:pPr>
            <w:r>
              <w:rPr>
                <w:rFonts w:hint="eastAsia" w:ascii="宋体" w:hAnsi="宋体"/>
                <w:kern w:val="0"/>
              </w:rPr>
              <w:t>（5）</w:t>
            </w:r>
            <w:r>
              <w:rPr>
                <w:rFonts w:ascii="宋体" w:hAnsi="宋体"/>
                <w:kern w:val="0"/>
              </w:rPr>
              <w:t>本项目所含软件（如有）必须为符合采购人适用范围的正版软件（非试用版），</w:t>
            </w:r>
            <w:r>
              <w:rPr>
                <w:rFonts w:hint="eastAsia" w:ascii="宋体" w:hAnsi="宋体"/>
                <w:kern w:val="0"/>
              </w:rPr>
              <w:t>且根据网络安全法及信息系统等级保护的相关规定，在正式验收前必须经采购人网信部门进行安全扫描，扫描合格后方能进行正式部署及正式验收。若中标报价人对扫描结果有异议，可委托双方认可的具备相关资质第三方检测机构进行检测，相关费用由中标报价人承担。</w:t>
            </w:r>
          </w:p>
          <w:p w14:paraId="4AF3A3E6">
            <w:pPr>
              <w:pStyle w:val="7"/>
              <w:rPr>
                <w:rFonts w:cs="Times New Roman"/>
                <w:szCs w:val="21"/>
              </w:rPr>
            </w:pPr>
            <w:r>
              <w:rPr>
                <w:rFonts w:hint="eastAsia" w:cs="Times New Roman"/>
                <w:szCs w:val="21"/>
              </w:rPr>
              <w:t>3.知识产权</w:t>
            </w:r>
          </w:p>
          <w:p w14:paraId="66DF4661">
            <w:pPr>
              <w:pStyle w:val="7"/>
              <w:rPr>
                <w:rFonts w:cs="Times New Roman"/>
                <w:szCs w:val="21"/>
              </w:rPr>
            </w:pPr>
            <w:r>
              <w:rPr>
                <w:rFonts w:hint="eastAsia" w:cs="Times New Roman"/>
                <w:szCs w:val="21"/>
              </w:rPr>
              <w:t>（1）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EA50F">
            <w:pPr>
              <w:pStyle w:val="7"/>
              <w:rPr>
                <w:rFonts w:cs="Times New Roman"/>
                <w:szCs w:val="21"/>
              </w:rPr>
            </w:pPr>
            <w:r>
              <w:rPr>
                <w:rFonts w:hint="eastAsia" w:cs="Times New Roman"/>
                <w:szCs w:val="21"/>
              </w:rPr>
              <w:t>（2）报价人因未经授权而实施的商业性复制行为构成违约或侵权责任造成采购人损失的，由其承但相关责任并赔偿采购人经济损失。</w:t>
            </w:r>
          </w:p>
          <w:p w14:paraId="5C7B3E89">
            <w:pPr>
              <w:snapToGrid w:val="0"/>
              <w:spacing w:line="276" w:lineRule="auto"/>
              <w:rPr>
                <w:rFonts w:cs="Times New Roman"/>
                <w:szCs w:val="21"/>
              </w:rPr>
            </w:pPr>
            <w:r>
              <w:rPr>
                <w:rFonts w:hint="eastAsia" w:ascii="宋体" w:hAnsi="宋体"/>
                <w:kern w:val="0"/>
              </w:rPr>
              <w:t>（3）</w:t>
            </w:r>
            <w:r>
              <w:rPr>
                <w:rFonts w:ascii="宋体" w:hAnsi="宋体"/>
                <w:kern w:val="0"/>
              </w:rPr>
              <w:t>中标</w:t>
            </w:r>
            <w:r>
              <w:rPr>
                <w:rFonts w:hint="eastAsia" w:ascii="宋体" w:hAnsi="宋体"/>
                <w:kern w:val="0"/>
              </w:rPr>
              <w:t>报价人</w:t>
            </w:r>
            <w:r>
              <w:rPr>
                <w:rFonts w:ascii="宋体" w:hAnsi="宋体"/>
                <w:kern w:val="0"/>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kern w:val="0"/>
              </w:rPr>
              <w:t>报价</w:t>
            </w:r>
            <w:r>
              <w:rPr>
                <w:rFonts w:ascii="宋体" w:hAnsi="宋体"/>
                <w:kern w:val="0"/>
              </w:rPr>
              <w:t>人承担。</w:t>
            </w:r>
          </w:p>
          <w:p w14:paraId="7E36845A">
            <w:pPr>
              <w:widowControl/>
              <w:adjustRightInd w:val="0"/>
              <w:snapToGrid w:val="0"/>
              <w:spacing w:line="520" w:lineRule="exact"/>
              <w:jc w:val="left"/>
              <w:rPr>
                <w:rFonts w:ascii="Arial" w:hAnsi="Arial" w:eastAsia="宋体" w:cs="Arial"/>
                <w:b/>
                <w:bCs/>
                <w:kern w:val="0"/>
                <w:szCs w:val="21"/>
              </w:rPr>
            </w:pPr>
            <w:r>
              <w:rPr>
                <w:rFonts w:hint="eastAsia" w:ascii="Arial" w:hAnsi="Arial" w:eastAsia="宋体" w:cs="Arial"/>
                <w:b/>
                <w:bCs/>
                <w:kern w:val="0"/>
                <w:szCs w:val="21"/>
              </w:rPr>
              <w:t>4.</w:t>
            </w:r>
            <w:r>
              <w:rPr>
                <w:rFonts w:ascii="Arial" w:hAnsi="Arial" w:eastAsia="宋体" w:cs="Arial"/>
                <w:b/>
                <w:bCs/>
                <w:kern w:val="0"/>
                <w:szCs w:val="21"/>
              </w:rPr>
              <w:t>付款</w:t>
            </w:r>
            <w:r>
              <w:rPr>
                <w:rFonts w:hint="eastAsia" w:ascii="Arial" w:hAnsi="Arial" w:eastAsia="宋体" w:cs="Arial"/>
                <w:b/>
                <w:bCs/>
                <w:kern w:val="0"/>
                <w:szCs w:val="21"/>
              </w:rPr>
              <w:t>要求</w:t>
            </w:r>
          </w:p>
          <w:p w14:paraId="176294E1">
            <w:pPr>
              <w:widowControl/>
              <w:adjustRightInd w:val="0"/>
              <w:snapToGrid w:val="0"/>
              <w:spacing w:line="360" w:lineRule="auto"/>
              <w:jc w:val="left"/>
              <w:rPr>
                <w:rFonts w:ascii="Arial" w:hAnsi="Arial" w:eastAsia="宋体" w:cs="Arial"/>
                <w:kern w:val="0"/>
                <w:szCs w:val="21"/>
              </w:rPr>
            </w:pPr>
            <w:r>
              <w:rPr>
                <w:rFonts w:ascii="Arial" w:hAnsi="Arial" w:eastAsia="宋体" w:cs="Arial"/>
                <w:kern w:val="0"/>
                <w:szCs w:val="21"/>
              </w:rPr>
              <w:t>本项目无预付款，合同中所有货物全部安装调试完毕验收合格交付给</w:t>
            </w:r>
            <w:r>
              <w:rPr>
                <w:rFonts w:hint="eastAsia" w:ascii="Arial" w:hAnsi="Arial" w:eastAsia="宋体" w:cs="Arial"/>
                <w:kern w:val="0"/>
                <w:szCs w:val="21"/>
              </w:rPr>
              <w:t>采购人</w:t>
            </w:r>
            <w:r>
              <w:rPr>
                <w:rFonts w:ascii="Arial" w:hAnsi="Arial" w:eastAsia="宋体" w:cs="Arial"/>
                <w:kern w:val="0"/>
                <w:szCs w:val="21"/>
              </w:rPr>
              <w:t>使用后，被选中的</w:t>
            </w:r>
            <w:r>
              <w:rPr>
                <w:rFonts w:hint="eastAsia" w:ascii="Arial" w:hAnsi="Arial" w:eastAsia="宋体" w:cs="Arial"/>
                <w:kern w:val="0"/>
                <w:szCs w:val="21"/>
              </w:rPr>
              <w:t>报价</w:t>
            </w:r>
            <w:r>
              <w:rPr>
                <w:rFonts w:ascii="Arial" w:hAnsi="Arial" w:eastAsia="宋体" w:cs="Arial"/>
                <w:kern w:val="0"/>
                <w:szCs w:val="21"/>
              </w:rPr>
              <w:t>人开具</w:t>
            </w:r>
            <w:r>
              <w:rPr>
                <w:rFonts w:hint="eastAsia" w:ascii="Arial" w:hAnsi="Arial" w:eastAsia="宋体" w:cs="Arial"/>
                <w:kern w:val="0"/>
                <w:szCs w:val="21"/>
              </w:rPr>
              <w:t>全额增值税专用发票</w:t>
            </w:r>
            <w:r>
              <w:rPr>
                <w:rFonts w:ascii="Arial" w:hAnsi="Arial" w:eastAsia="宋体" w:cs="Arial"/>
                <w:kern w:val="0"/>
                <w:szCs w:val="21"/>
              </w:rPr>
              <w:t>给</w:t>
            </w:r>
            <w:r>
              <w:rPr>
                <w:rFonts w:hint="eastAsia" w:ascii="Arial" w:hAnsi="Arial" w:eastAsia="宋体" w:cs="Arial"/>
                <w:kern w:val="0"/>
                <w:szCs w:val="21"/>
              </w:rPr>
              <w:t>采购人</w:t>
            </w:r>
            <w:r>
              <w:rPr>
                <w:rFonts w:ascii="Arial" w:hAnsi="Arial" w:eastAsia="宋体" w:cs="Arial"/>
                <w:kern w:val="0"/>
                <w:szCs w:val="21"/>
              </w:rPr>
              <w:t>，</w:t>
            </w:r>
            <w:r>
              <w:rPr>
                <w:rFonts w:hint="eastAsia" w:ascii="Arial" w:hAnsi="Arial" w:eastAsia="宋体" w:cs="Arial"/>
                <w:kern w:val="0"/>
                <w:szCs w:val="21"/>
              </w:rPr>
              <w:t>采购人</w:t>
            </w:r>
            <w:r>
              <w:rPr>
                <w:rFonts w:ascii="Arial" w:hAnsi="Arial" w:eastAsia="宋体" w:cs="Arial"/>
                <w:kern w:val="0"/>
                <w:szCs w:val="21"/>
              </w:rPr>
              <w:t>收到发票后</w:t>
            </w:r>
            <w:r>
              <w:rPr>
                <w:rFonts w:hint="eastAsia" w:ascii="Arial" w:hAnsi="Arial" w:eastAsia="宋体" w:cs="Arial"/>
                <w:b/>
                <w:kern w:val="0"/>
                <w:szCs w:val="21"/>
                <w:u w:val="single"/>
              </w:rPr>
              <w:t xml:space="preserve"> 20 </w:t>
            </w:r>
            <w:r>
              <w:rPr>
                <w:rFonts w:hint="eastAsia" w:ascii="Arial" w:hAnsi="Arial" w:eastAsia="宋体" w:cs="Arial"/>
                <w:kern w:val="0"/>
                <w:szCs w:val="21"/>
              </w:rPr>
              <w:t>个工作日</w:t>
            </w:r>
            <w:r>
              <w:rPr>
                <w:rFonts w:ascii="Arial" w:hAnsi="Arial" w:eastAsia="宋体" w:cs="Arial"/>
                <w:kern w:val="0"/>
                <w:szCs w:val="21"/>
              </w:rPr>
              <w:t>内</w:t>
            </w:r>
            <w:r>
              <w:rPr>
                <w:rFonts w:hint="eastAsia" w:ascii="Arial" w:hAnsi="Arial" w:eastAsia="宋体" w:cs="Arial"/>
                <w:kern w:val="0"/>
                <w:szCs w:val="21"/>
              </w:rPr>
              <w:t>办理</w:t>
            </w:r>
            <w:r>
              <w:rPr>
                <w:rFonts w:ascii="Arial" w:hAnsi="Arial" w:eastAsia="宋体" w:cs="Arial"/>
                <w:kern w:val="0"/>
                <w:szCs w:val="21"/>
              </w:rPr>
              <w:t>支付手续</w:t>
            </w:r>
            <w:r>
              <w:rPr>
                <w:rFonts w:cs="Arial" w:asciiTheme="majorEastAsia" w:hAnsiTheme="majorEastAsia" w:eastAsiaTheme="majorEastAsia"/>
                <w:kern w:val="0"/>
                <w:szCs w:val="21"/>
              </w:rPr>
              <w:t>。</w:t>
            </w:r>
            <w:r>
              <w:rPr>
                <w:rFonts w:hint="eastAsia" w:cs="Arial" w:asciiTheme="majorEastAsia" w:hAnsiTheme="majorEastAsia" w:eastAsiaTheme="majorEastAsia"/>
                <w:kern w:val="0"/>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56684F62">
            <w:pPr>
              <w:widowControl/>
              <w:adjustRightInd w:val="0"/>
              <w:snapToGrid w:val="0"/>
              <w:spacing w:line="520" w:lineRule="exact"/>
              <w:jc w:val="left"/>
              <w:rPr>
                <w:rFonts w:ascii="Arial" w:hAnsi="Arial" w:eastAsia="宋体" w:cs="Arial"/>
                <w:b/>
                <w:bCs/>
                <w:kern w:val="0"/>
                <w:szCs w:val="21"/>
              </w:rPr>
            </w:pPr>
            <w:r>
              <w:rPr>
                <w:rFonts w:hint="eastAsia" w:ascii="Arial" w:hAnsi="Arial" w:eastAsia="宋体" w:cs="Arial"/>
                <w:b/>
                <w:bCs/>
                <w:kern w:val="0"/>
                <w:szCs w:val="21"/>
              </w:rPr>
              <w:t>5.履约保证金</w:t>
            </w:r>
          </w:p>
          <w:p w14:paraId="1BE1A750">
            <w:pPr>
              <w:widowControl/>
              <w:adjustRightInd w:val="0"/>
              <w:snapToGrid w:val="0"/>
              <w:spacing w:line="360" w:lineRule="auto"/>
              <w:jc w:val="left"/>
              <w:rPr>
                <w:rFonts w:ascii="Arial" w:hAnsi="Arial" w:eastAsia="宋体" w:cs="Arial"/>
                <w:kern w:val="0"/>
                <w:szCs w:val="21"/>
              </w:rPr>
            </w:pPr>
            <w:r>
              <w:rPr>
                <w:rFonts w:hint="eastAsia" w:ascii="Arial" w:hAnsi="Arial" w:eastAsia="宋体" w:cs="Arial"/>
                <w:kern w:val="0"/>
                <w:szCs w:val="21"/>
              </w:rPr>
              <w:t>合同签订前2日内，以银行转账、支票、汇票、本票或者银行、保险机构出具的保函、保险等非现金方式提交履约保证金。履约保证金金额按本项目合同金额的5%收取，履约保证金不足额缴纳的，或银行、保险机构出具的保函、保险额度不足的或者保函、保险有效期低于合同履行期限（即签订采购合同之日起至履行完合同约定的权利及义务之日止）的，不予签订合同。如报价人未能按合同约定履行合同，采购人有权没收全部履约保证金，并按合同相关条款追究其责任。采购人在验收合格交付使用之日起30日内退还履约保证金（不计息）。</w:t>
            </w:r>
          </w:p>
          <w:p w14:paraId="132AF815">
            <w:pPr>
              <w:widowControl/>
              <w:spacing w:line="360" w:lineRule="auto"/>
              <w:rPr>
                <w:rFonts w:ascii="Arial" w:hAnsi="Arial" w:eastAsia="宋体" w:cs="Arial"/>
                <w:bCs/>
                <w:kern w:val="0"/>
                <w:szCs w:val="21"/>
              </w:rPr>
            </w:pPr>
            <w:r>
              <w:rPr>
                <w:rFonts w:hint="eastAsia" w:ascii="Arial" w:hAnsi="Arial" w:eastAsia="宋体" w:cs="Arial"/>
                <w:bCs/>
                <w:kern w:val="0"/>
                <w:szCs w:val="21"/>
              </w:rPr>
              <w:t>履约保证金账户：</w:t>
            </w:r>
          </w:p>
          <w:p w14:paraId="408F29C6">
            <w:pPr>
              <w:pStyle w:val="7"/>
              <w:spacing w:line="360" w:lineRule="auto"/>
              <w:rPr>
                <w:rFonts w:ascii="Arial" w:hAnsi="Arial" w:eastAsia="宋体" w:cs="Arial"/>
                <w:bCs/>
                <w:kern w:val="0"/>
                <w:szCs w:val="21"/>
              </w:rPr>
            </w:pPr>
            <w:r>
              <w:rPr>
                <w:rFonts w:hint="eastAsia" w:ascii="Arial" w:hAnsi="Arial" w:eastAsia="宋体" w:cs="Arial"/>
                <w:bCs/>
                <w:kern w:val="0"/>
                <w:szCs w:val="21"/>
              </w:rPr>
              <w:t>名  称：柳州职业技术大学</w:t>
            </w:r>
          </w:p>
          <w:p w14:paraId="0CFE26CA">
            <w:pPr>
              <w:pStyle w:val="7"/>
              <w:spacing w:line="360" w:lineRule="auto"/>
              <w:rPr>
                <w:rFonts w:ascii="Arial" w:hAnsi="Arial" w:eastAsia="宋体" w:cs="Arial"/>
                <w:bCs/>
                <w:kern w:val="0"/>
                <w:szCs w:val="21"/>
              </w:rPr>
            </w:pPr>
            <w:r>
              <w:rPr>
                <w:rFonts w:hint="eastAsia" w:ascii="Arial" w:hAnsi="Arial" w:eastAsia="宋体" w:cs="Arial"/>
                <w:bCs/>
                <w:kern w:val="0"/>
                <w:szCs w:val="21"/>
              </w:rPr>
              <w:t>开户行：交通银行西江支行</w:t>
            </w:r>
          </w:p>
          <w:p w14:paraId="567A8778">
            <w:pPr>
              <w:pStyle w:val="7"/>
              <w:spacing w:line="360" w:lineRule="auto"/>
              <w:rPr>
                <w:rFonts w:ascii="Arial" w:hAnsi="Arial" w:eastAsia="宋体" w:cs="Arial"/>
                <w:bCs/>
                <w:kern w:val="0"/>
                <w:szCs w:val="21"/>
              </w:rPr>
            </w:pPr>
            <w:r>
              <w:rPr>
                <w:rFonts w:hint="eastAsia" w:ascii="Arial" w:hAnsi="Arial" w:eastAsia="宋体" w:cs="Arial"/>
                <w:bCs/>
                <w:kern w:val="0"/>
                <w:szCs w:val="21"/>
              </w:rPr>
              <w:t>账  号：</w:t>
            </w:r>
            <w:r>
              <w:rPr>
                <w:rFonts w:ascii="Arial" w:hAnsi="Arial" w:eastAsia="宋体" w:cs="Arial"/>
                <w:bCs/>
                <w:kern w:val="0"/>
                <w:szCs w:val="21"/>
              </w:rPr>
              <w:t>452060600018120020185</w:t>
            </w:r>
          </w:p>
          <w:p w14:paraId="3CBF74F1">
            <w:pPr>
              <w:pStyle w:val="7"/>
              <w:spacing w:line="360" w:lineRule="auto"/>
              <w:rPr>
                <w:rFonts w:cs="Times New Roman"/>
                <w:szCs w:val="21"/>
              </w:rPr>
            </w:pPr>
            <w:r>
              <w:rPr>
                <w:rFonts w:hint="eastAsia" w:ascii="Arial" w:hAnsi="Arial" w:eastAsia="宋体" w:cs="Arial"/>
                <w:bCs/>
                <w:kern w:val="0"/>
                <w:szCs w:val="21"/>
              </w:rPr>
              <w:t>转账时注明：智能产品交互程序开发及教学资源制作服务</w:t>
            </w:r>
            <w:r>
              <w:rPr>
                <w:rFonts w:hint="eastAsia" w:ascii="Arial" w:hAnsi="Arial" w:eastAsia="宋体" w:cs="Arial"/>
                <w:bCs/>
                <w:kern w:val="0"/>
                <w:szCs w:val="21"/>
              </w:rPr>
              <w:t>项目，采购编号</w:t>
            </w:r>
            <w:r>
              <w:rPr>
                <w:rFonts w:hint="eastAsia" w:ascii="Arial" w:hAnsi="Arial" w:eastAsia="宋体" w:cs="Arial"/>
                <w:b/>
                <w:bCs w:val="0"/>
                <w:kern w:val="0"/>
                <w:szCs w:val="21"/>
              </w:rPr>
              <w:t>LZPU2026-</w:t>
            </w:r>
            <w:r>
              <w:rPr>
                <w:rFonts w:hint="eastAsia" w:ascii="Arial" w:hAnsi="Arial" w:eastAsia="宋体" w:cs="Arial"/>
                <w:b/>
                <w:bCs w:val="0"/>
                <w:kern w:val="0"/>
                <w:szCs w:val="21"/>
                <w:lang w:val="en-US" w:eastAsia="zh-CN"/>
              </w:rPr>
              <w:t>37</w:t>
            </w:r>
            <w:r>
              <w:rPr>
                <w:rFonts w:hint="eastAsia" w:ascii="Arial" w:hAnsi="Arial" w:eastAsia="宋体" w:cs="Arial"/>
                <w:bCs/>
                <w:kern w:val="0"/>
                <w:szCs w:val="21"/>
              </w:rPr>
              <w:t>履约保证金</w:t>
            </w:r>
            <w:r>
              <w:rPr>
                <w:rFonts w:hint="eastAsia" w:ascii="Arial" w:hAnsi="Arial" w:eastAsia="宋体" w:cs="Arial"/>
                <w:kern w:val="0"/>
                <w:szCs w:val="21"/>
              </w:rPr>
              <w:t>电汇、转账的持银行回执复印件（非电汇、转账的出具其他保证金递交证明文件）、中标（成交）通知书（确认书）及合同到柳州职业技术大学签署合同。</w:t>
            </w:r>
          </w:p>
          <w:p w14:paraId="1B6825B9">
            <w:pPr>
              <w:pStyle w:val="7"/>
              <w:rPr>
                <w:rFonts w:cs="Times New Roman"/>
                <w:b/>
                <w:bCs/>
                <w:szCs w:val="21"/>
              </w:rPr>
            </w:pPr>
            <w:r>
              <w:rPr>
                <w:rFonts w:hint="eastAsia" w:cs="Times New Roman"/>
                <w:b/>
                <w:bCs/>
                <w:szCs w:val="21"/>
              </w:rPr>
              <w:t>6.验收要求</w:t>
            </w:r>
          </w:p>
          <w:p w14:paraId="5CB4ACEA">
            <w:pPr>
              <w:pStyle w:val="7"/>
              <w:rPr>
                <w:rFonts w:cs="Times New Roman"/>
                <w:szCs w:val="21"/>
              </w:rPr>
            </w:pPr>
            <w:r>
              <w:rPr>
                <w:rFonts w:hint="eastAsia" w:cs="Times New Roman"/>
                <w:szCs w:val="21"/>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7A91FB9C">
            <w:pPr>
              <w:pStyle w:val="7"/>
              <w:rPr>
                <w:rFonts w:cs="Times New Roman"/>
                <w:szCs w:val="21"/>
              </w:rPr>
            </w:pPr>
            <w:r>
              <w:rPr>
                <w:rFonts w:hint="eastAsia" w:cs="Times New Roman"/>
                <w:szCs w:val="21"/>
              </w:rPr>
              <w:t>（2）中标报价人须确保货物为原制造商制造（或原厂组装）的全新产品，无侵权行为、表面无划损、无任何缺陷隐患，在中国境内可依常规安全合法使用。</w:t>
            </w:r>
          </w:p>
          <w:p w14:paraId="3BC60A87">
            <w:pPr>
              <w:pStyle w:val="7"/>
              <w:rPr>
                <w:rFonts w:cs="Times New Roman"/>
                <w:szCs w:val="21"/>
              </w:rPr>
            </w:pPr>
            <w:r>
              <w:rPr>
                <w:rFonts w:hint="eastAsia" w:cs="Times New Roman"/>
                <w:szCs w:val="21"/>
              </w:rPr>
              <w:t>（3）供货时中标报价人应将关键货物的用户手册、保修手册、有关单证资料及配备件等交付给采购人，使用操作及安全须知等重要资料应附有中文说明。</w:t>
            </w:r>
          </w:p>
          <w:p w14:paraId="40831A56">
            <w:pPr>
              <w:pStyle w:val="7"/>
              <w:rPr>
                <w:rFonts w:cs="Times New Roman"/>
                <w:szCs w:val="21"/>
              </w:rPr>
            </w:pPr>
            <w:r>
              <w:rPr>
                <w:rFonts w:hint="eastAsia" w:cs="Times New Roman"/>
                <w:szCs w:val="21"/>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6D6EF5FE">
            <w:pPr>
              <w:pStyle w:val="7"/>
              <w:rPr>
                <w:rFonts w:cs="Times New Roman"/>
                <w:szCs w:val="21"/>
              </w:rPr>
            </w:pPr>
            <w:r>
              <w:rPr>
                <w:rFonts w:hint="eastAsia" w:cs="Times New Roman"/>
                <w:szCs w:val="21"/>
              </w:rPr>
              <w:t>（5）中标报价人必须依照采购文件的要求和应标文件的承诺，将设备、系统安装并调试至正常运行的最佳状态，并完成采购人的人员培训方可申请采购人正式验收。</w:t>
            </w:r>
          </w:p>
          <w:p w14:paraId="6FECFF96">
            <w:pPr>
              <w:pStyle w:val="7"/>
              <w:rPr>
                <w:rFonts w:cs="Times New Roman"/>
                <w:szCs w:val="21"/>
              </w:rPr>
            </w:pPr>
            <w:r>
              <w:rPr>
                <w:rFonts w:hint="eastAsia" w:cs="Times New Roman"/>
                <w:szCs w:val="21"/>
              </w:rPr>
              <w:t>（6）采购人有权委托第三方进行履约验收，履约验收费用（含运行耗材、验收专家费等全部费用）由中标报价人支付。报价人在报价时自行考虑。</w:t>
            </w:r>
          </w:p>
          <w:p w14:paraId="14236056">
            <w:pPr>
              <w:snapToGrid w:val="0"/>
              <w:spacing w:line="276" w:lineRule="auto"/>
              <w:rPr>
                <w:rFonts w:cs="Times New Roman"/>
                <w:szCs w:val="21"/>
              </w:rPr>
            </w:pPr>
            <w:r>
              <w:rPr>
                <w:rFonts w:hint="eastAsia" w:cs="Times New Roman"/>
                <w:szCs w:val="21"/>
              </w:rPr>
              <w:t>（7）中标</w:t>
            </w:r>
            <w:r>
              <w:rPr>
                <w:rFonts w:hint="eastAsia" w:ascii="宋体" w:hAnsi="宋体"/>
                <w:kern w:val="0"/>
              </w:rPr>
              <w:t>报价人</w:t>
            </w:r>
            <w:r>
              <w:rPr>
                <w:rFonts w:ascii="宋体" w:hAnsi="宋体"/>
                <w:kern w:val="0"/>
              </w:rPr>
              <w:t>完成安装调试后，采购人可以进行累计运行时间不超过72小时的试运行，以确认所供货物（含硬件、软件及服务）功能参数、兼容性及稳定性符合标准达到初验条件，在试运行期间出现问题</w:t>
            </w:r>
            <w:r>
              <w:rPr>
                <w:rFonts w:hint="eastAsia" w:cs="Times New Roman"/>
                <w:szCs w:val="21"/>
              </w:rPr>
              <w:t>中标</w:t>
            </w:r>
            <w:r>
              <w:rPr>
                <w:rFonts w:hint="eastAsia" w:ascii="宋体" w:hAnsi="宋体"/>
                <w:kern w:val="0"/>
              </w:rPr>
              <w:t>报价人</w:t>
            </w:r>
            <w:r>
              <w:rPr>
                <w:rFonts w:ascii="宋体" w:hAnsi="宋体"/>
                <w:kern w:val="0"/>
              </w:rPr>
              <w:t>应在接到采购人书面反馈后三日内解决，在解决问题前此项目仍视为尚未完成安装调试。如造成最终验收合格交付时间超过合同约定的按合同相关条款执行。</w:t>
            </w:r>
          </w:p>
          <w:p w14:paraId="74BDA0D8">
            <w:pPr>
              <w:pStyle w:val="7"/>
              <w:rPr>
                <w:rFonts w:cs="Times New Roman"/>
                <w:sz w:val="24"/>
                <w:szCs w:val="24"/>
              </w:rPr>
            </w:pPr>
            <w:r>
              <w:rPr>
                <w:rFonts w:hint="eastAsia" w:cs="Times New Roman"/>
                <w:szCs w:val="21"/>
              </w:rPr>
              <w:t>如果验收时中标报价人所提供设备达不到采购项目的技术需求，在整改期限20日内中标报价人仍无法提供满足项目技术要求的设备，采购人可以终止项目，中标报价人须承担相应违约责任。</w:t>
            </w:r>
          </w:p>
        </w:tc>
      </w:tr>
    </w:tbl>
    <w:p w14:paraId="006364C9">
      <w:pPr>
        <w:widowControl/>
        <w:adjustRightInd w:val="0"/>
        <w:snapToGrid w:val="0"/>
        <w:spacing w:line="520" w:lineRule="exact"/>
        <w:jc w:val="left"/>
        <w:rPr>
          <w:rFonts w:ascii="Arial" w:hAnsi="Arial" w:eastAsia="宋体" w:cs="Arial"/>
          <w:color w:val="000000"/>
          <w:kern w:val="0"/>
          <w:sz w:val="24"/>
          <w:szCs w:val="28"/>
        </w:rPr>
      </w:pPr>
      <w:r>
        <w:rPr>
          <w:rFonts w:ascii="Arial" w:hAnsi="Arial" w:eastAsia="宋体" w:cs="Arial"/>
          <w:color w:val="000000"/>
          <w:kern w:val="0"/>
          <w:sz w:val="24"/>
          <w:szCs w:val="28"/>
        </w:rPr>
        <w:t>四、报价人须知：（以下要求报价供应商必须满足否则视为无效）</w:t>
      </w:r>
    </w:p>
    <w:p w14:paraId="09F0FED6">
      <w:pPr>
        <w:widowControl/>
        <w:adjustRightInd w:val="0"/>
        <w:snapToGrid w:val="0"/>
        <w:spacing w:line="520" w:lineRule="exact"/>
        <w:jc w:val="left"/>
        <w:rPr>
          <w:rFonts w:asciiTheme="majorEastAsia" w:hAnsiTheme="majorEastAsia" w:eastAsiaTheme="majorEastAsia" w:cstheme="majorEastAsia"/>
          <w:b/>
          <w:szCs w:val="28"/>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szCs w:val="28"/>
        </w:rPr>
        <w:t>资格证明文件</w:t>
      </w:r>
    </w:p>
    <w:p w14:paraId="7CB6D7B6">
      <w:pPr>
        <w:widowControl/>
        <w:adjustRightInd w:val="0"/>
        <w:snapToGrid w:val="0"/>
        <w:spacing w:line="520" w:lineRule="exact"/>
        <w:jc w:val="left"/>
        <w:rPr>
          <w:rFonts w:asciiTheme="majorEastAsia" w:hAnsiTheme="majorEastAsia" w:eastAsiaTheme="majorEastAsia" w:cstheme="majorEastAsia"/>
          <w:sz w:val="24"/>
          <w:szCs w:val="36"/>
        </w:rPr>
      </w:pPr>
      <w:r>
        <w:rPr>
          <w:rFonts w:hint="eastAsia" w:asciiTheme="majorEastAsia" w:hAnsiTheme="majorEastAsia" w:eastAsiaTheme="majorEastAsia" w:cstheme="majorEastAsia"/>
          <w:kern w:val="0"/>
          <w:sz w:val="24"/>
          <w:szCs w:val="28"/>
        </w:rPr>
        <w:t>（1）国内注册（指按国家工商管理有关规定要求注册的），具有合法的主体资格证明复印件（如营业执照、事业单位法人证书、个体工商户营业执照）的报价人；</w:t>
      </w:r>
      <w:r>
        <w:rPr>
          <w:rFonts w:hint="eastAsia" w:asciiTheme="majorEastAsia" w:hAnsiTheme="majorEastAsia" w:eastAsiaTheme="majorEastAsia" w:cstheme="majorEastAsia"/>
          <w:sz w:val="24"/>
          <w:szCs w:val="36"/>
        </w:rPr>
        <w:t>（</w:t>
      </w:r>
      <w:r>
        <w:rPr>
          <w:rFonts w:hint="eastAsia" w:asciiTheme="majorEastAsia" w:hAnsiTheme="majorEastAsia" w:eastAsiaTheme="majorEastAsia" w:cstheme="majorEastAsia"/>
          <w:b/>
          <w:sz w:val="24"/>
          <w:szCs w:val="36"/>
        </w:rPr>
        <w:t>必须提供，否则响应文件按无效响应处理</w:t>
      </w:r>
      <w:r>
        <w:rPr>
          <w:rFonts w:hint="eastAsia" w:asciiTheme="majorEastAsia" w:hAnsiTheme="majorEastAsia" w:eastAsiaTheme="majorEastAsia" w:cstheme="majorEastAsia"/>
          <w:sz w:val="24"/>
          <w:szCs w:val="36"/>
        </w:rPr>
        <w:t>）</w:t>
      </w:r>
    </w:p>
    <w:p w14:paraId="583DDA09">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sz w:val="24"/>
          <w:szCs w:val="24"/>
        </w:rPr>
        <w:t>（2）报价声明（格式后附）；（</w:t>
      </w:r>
      <w:r>
        <w:rPr>
          <w:rFonts w:hint="eastAsia" w:asciiTheme="majorEastAsia" w:hAnsiTheme="majorEastAsia" w:eastAsiaTheme="majorEastAsia" w:cstheme="majorEastAsia"/>
          <w:b/>
          <w:sz w:val="24"/>
          <w:szCs w:val="24"/>
        </w:rPr>
        <w:t>必须提供，否则响应文件按无效响应处理</w:t>
      </w:r>
      <w:r>
        <w:rPr>
          <w:rFonts w:hint="eastAsia" w:asciiTheme="majorEastAsia" w:hAnsiTheme="majorEastAsia" w:eastAsiaTheme="majorEastAsia" w:cstheme="majorEastAsia"/>
          <w:sz w:val="24"/>
          <w:szCs w:val="24"/>
        </w:rPr>
        <w:t>）</w:t>
      </w:r>
    </w:p>
    <w:p w14:paraId="65573B48">
      <w:pPr>
        <w:rPr>
          <w:rFonts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注：</w:t>
      </w:r>
    </w:p>
    <w:p w14:paraId="308189F8">
      <w:pPr>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1.以上标明“必须提供”的材料属于复印件的，必须加盖报价人公章，否则报价文件按无效响应处理。</w:t>
      </w:r>
    </w:p>
    <w:p w14:paraId="2EA606DC">
      <w:pPr>
        <w:rPr>
          <w:rFonts w:asciiTheme="majorEastAsia" w:hAnsiTheme="majorEastAsia" w:eastAsiaTheme="majorEastAsia" w:cstheme="majorEastAsia"/>
          <w:kern w:val="0"/>
        </w:rPr>
      </w:pPr>
      <w:r>
        <w:rPr>
          <w:rFonts w:hint="eastAsia" w:asciiTheme="majorEastAsia" w:hAnsiTheme="majorEastAsia" w:eastAsiaTheme="majorEastAsia" w:cstheme="majorEastAsia"/>
          <w:b/>
          <w:szCs w:val="21"/>
        </w:rPr>
        <w:t>2.报价人的报价声明必须由法定代表人或委托代理人在规定签章处签字并加盖报价人公章，否则响应文件按无效响应处理。</w:t>
      </w:r>
    </w:p>
    <w:p w14:paraId="1EC3DBD6">
      <w:pPr>
        <w:widowControl/>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8"/>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8"/>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8"/>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8"/>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8"/>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8"/>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7"/>
        <w:numPr>
          <w:ilvl w:val="0"/>
          <w:numId w:val="8"/>
        </w:numPr>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asciiTheme="majorEastAsia" w:hAnsiTheme="majorEastAsia" w:eastAsiaTheme="majorEastAsia" w:cstheme="majorEastAsia"/>
          <w:b/>
          <w:bCs/>
          <w:kern w:val="0"/>
          <w:sz w:val="24"/>
          <w:szCs w:val="28"/>
        </w:rPr>
      </w:pPr>
      <w:r>
        <w:rPr>
          <w:rFonts w:hint="eastAsia" w:asciiTheme="majorEastAsia" w:hAnsiTheme="majorEastAsia" w:eastAsiaTheme="majorEastAsia" w:cstheme="majorEastAsia"/>
          <w:kern w:val="0"/>
          <w:sz w:val="24"/>
          <w:szCs w:val="28"/>
        </w:rPr>
        <w:t>3.报价为最终报价，须包含货物及货物运抵指定交货地点的运输、装卸费用、售后服务、税金、验收检验及其它所有费用的总和。</w:t>
      </w:r>
      <w:r>
        <w:rPr>
          <w:rFonts w:hint="eastAsia" w:asciiTheme="majorEastAsia" w:hAnsiTheme="majorEastAsia" w:eastAsiaTheme="majorEastAsia" w:cstheme="majorEastAsia"/>
          <w:b/>
          <w:bCs/>
          <w:kern w:val="0"/>
          <w:sz w:val="24"/>
          <w:szCs w:val="28"/>
        </w:rPr>
        <w:t>报价超出采购预算金额的文件将被视为无效。</w:t>
      </w:r>
    </w:p>
    <w:p w14:paraId="0105B1C4">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sz w:val="24"/>
          <w:szCs w:val="24"/>
        </w:rPr>
        <w:t>由资格证明文件、报价商务技术文件两部分组成，详见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kern w:val="0"/>
          <w:sz w:val="24"/>
          <w:szCs w:val="24"/>
        </w:rPr>
        <w:t>包括但不限于本报价函（加盖报价商公章），报价人工商营业执照复印件、法定代表人身份证复印件、委托代理人身份证复印件（委托代理时提供）、法定代表人授权委托书（委托代理时提供）。</w:t>
      </w:r>
    </w:p>
    <w:p w14:paraId="4E9775CC">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5.报价文件递交</w:t>
      </w:r>
    </w:p>
    <w:p w14:paraId="1749A1C6">
      <w:pPr>
        <w:widowControl/>
        <w:adjustRightInd w:val="0"/>
        <w:snapToGrid w:val="0"/>
        <w:spacing w:line="360" w:lineRule="auto"/>
        <w:jc w:val="left"/>
        <w:rPr>
          <w:rFonts w:asciiTheme="majorEastAsia" w:hAnsiTheme="majorEastAsia" w:eastAsiaTheme="majorEastAsia" w:cstheme="majorEastAsia"/>
          <w:b/>
          <w:bCs/>
          <w:sz w:val="24"/>
          <w:szCs w:val="24"/>
        </w:rPr>
      </w:pPr>
      <w:r>
        <w:rPr>
          <w:rFonts w:hint="eastAsia" w:asciiTheme="majorEastAsia" w:hAnsiTheme="majorEastAsia" w:eastAsiaTheme="majorEastAsia" w:cstheme="majorEastAsia"/>
          <w:sz w:val="24"/>
          <w:szCs w:val="24"/>
        </w:rPr>
        <w:t>（1）报价文件份数：</w:t>
      </w:r>
      <w:r>
        <w:rPr>
          <w:rFonts w:hint="eastAsia" w:asciiTheme="majorEastAsia" w:hAnsiTheme="majorEastAsia" w:eastAsiaTheme="majorEastAsia" w:cstheme="majorEastAsia"/>
          <w:kern w:val="0"/>
          <w:sz w:val="24"/>
          <w:szCs w:val="24"/>
        </w:rPr>
        <w:t>报价文件一式三份，</w:t>
      </w:r>
      <w:r>
        <w:rPr>
          <w:rFonts w:hint="eastAsia" w:asciiTheme="majorEastAsia" w:hAnsiTheme="majorEastAsia" w:eastAsiaTheme="majorEastAsia" w:cstheme="majorEastAsia"/>
          <w:b/>
          <w:bCs/>
          <w:sz w:val="24"/>
          <w:szCs w:val="24"/>
        </w:rPr>
        <w:t>正本一份、副本二份</w:t>
      </w:r>
    </w:p>
    <w:p w14:paraId="7286C781">
      <w:pPr>
        <w:widowControl/>
        <w:adjustRightInd w:val="0"/>
        <w:snapToGrid w:val="0"/>
        <w:spacing w:line="360" w:lineRule="auto"/>
        <w:jc w:val="left"/>
        <w:rPr>
          <w:rFonts w:asciiTheme="majorEastAsia" w:hAnsiTheme="majorEastAsia" w:eastAsiaTheme="majorEastAsia" w:cstheme="majorEastAsia"/>
          <w:spacing w:val="-6"/>
          <w:sz w:val="24"/>
          <w:szCs w:val="24"/>
        </w:rPr>
      </w:pPr>
      <w:r>
        <w:rPr>
          <w:rFonts w:hint="eastAsia" w:asciiTheme="majorEastAsia" w:hAnsiTheme="majorEastAsia" w:eastAsiaTheme="majorEastAsia" w:cstheme="majorEastAsia"/>
          <w:sz w:val="24"/>
          <w:szCs w:val="24"/>
        </w:rPr>
        <w:t>（2）报价人应按本文件规定的格式和顺序编制、装订报价文件并标注页码，报价文件内容</w:t>
      </w:r>
      <w:r>
        <w:rPr>
          <w:rFonts w:hint="eastAsia" w:asciiTheme="majorEastAsia" w:hAnsiTheme="majorEastAsia" w:eastAsiaTheme="majorEastAsia" w:cstheme="majorEastAsia"/>
          <w:spacing w:val="-6"/>
          <w:sz w:val="24"/>
          <w:szCs w:val="24"/>
        </w:rPr>
        <w:t>不完整、编排混乱导致被误读、漏读或者查找不到相关内容的，</w:t>
      </w:r>
      <w:r>
        <w:rPr>
          <w:rFonts w:hint="eastAsia" w:asciiTheme="majorEastAsia" w:hAnsiTheme="majorEastAsia" w:eastAsiaTheme="majorEastAsia" w:cstheme="majorEastAsia"/>
          <w:sz w:val="24"/>
          <w:szCs w:val="24"/>
        </w:rPr>
        <w:t>由此引发的</w:t>
      </w:r>
      <w:r>
        <w:rPr>
          <w:rFonts w:hint="eastAsia" w:asciiTheme="majorEastAsia" w:hAnsiTheme="majorEastAsia" w:eastAsiaTheme="majorEastAsia" w:cstheme="majorEastAsia"/>
          <w:spacing w:val="-6"/>
          <w:sz w:val="24"/>
          <w:szCs w:val="24"/>
        </w:rPr>
        <w:t>后果由</w:t>
      </w:r>
      <w:r>
        <w:rPr>
          <w:rFonts w:hint="eastAsia" w:asciiTheme="majorEastAsia" w:hAnsiTheme="majorEastAsia" w:eastAsiaTheme="majorEastAsia" w:cstheme="majorEastAsia"/>
          <w:sz w:val="24"/>
          <w:szCs w:val="24"/>
        </w:rPr>
        <w:t>报价人自行</w:t>
      </w:r>
      <w:r>
        <w:rPr>
          <w:rFonts w:hint="eastAsia" w:asciiTheme="majorEastAsia" w:hAnsiTheme="majorEastAsia" w:eastAsiaTheme="majorEastAsia" w:cstheme="majorEastAsia"/>
          <w:spacing w:val="-6"/>
          <w:sz w:val="24"/>
          <w:szCs w:val="24"/>
        </w:rPr>
        <w:t>承担。</w:t>
      </w:r>
    </w:p>
    <w:p w14:paraId="10E93A12">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pacing w:val="-6"/>
          <w:sz w:val="24"/>
          <w:szCs w:val="24"/>
        </w:rPr>
        <w:t>（3）</w:t>
      </w:r>
      <w:r>
        <w:rPr>
          <w:rFonts w:hint="eastAsia" w:asciiTheme="majorEastAsia" w:hAnsiTheme="majorEastAsia" w:eastAsiaTheme="majorEastAsia" w:cstheme="majorEastAsia"/>
          <w:sz w:val="24"/>
          <w:szCs w:val="24"/>
        </w:rPr>
        <w:t>报价文件的封面应注明“正本”、“副本”字样，提供报价文件正、副本数量不足的将按无效响应处理。由于报价文件装订松散而造成的丢失或其他情况导致的不利后果由报价人自行承担。</w:t>
      </w:r>
    </w:p>
    <w:p w14:paraId="1AC31C6E">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报价文件正、副本全部装入一个包封袋/箱中并加以密封，封口处必须加盖报价人公章或法定代表人签字或委托代理人签字，以示密封。报价文件外层包装封面上应标记“项目名称、项目编号（如有）、供应商名称、报价文件提交截止时间前不得启封”字样。未按规定密封的响应文件将被拒收。</w:t>
      </w:r>
    </w:p>
    <w:p w14:paraId="5C5840FA">
      <w:pPr>
        <w:pStyle w:val="38"/>
        <w:rPr>
          <w:rFonts w:asciiTheme="majorEastAsia" w:hAnsiTheme="majorEastAsia" w:eastAsiaTheme="majorEastAsia" w:cstheme="majorEastAsia"/>
          <w:b w:val="0"/>
          <w:bCs/>
          <w:sz w:val="24"/>
          <w:szCs w:val="24"/>
        </w:rPr>
      </w:pPr>
      <w:r>
        <w:rPr>
          <w:rFonts w:hint="eastAsia" w:asciiTheme="majorEastAsia" w:hAnsiTheme="majorEastAsia" w:eastAsiaTheme="majorEastAsia" w:cstheme="majorEastAsia"/>
          <w:b w:val="0"/>
          <w:bCs/>
          <w:spacing w:val="-6"/>
          <w:sz w:val="24"/>
          <w:szCs w:val="24"/>
        </w:rPr>
        <w:t>6.报价</w:t>
      </w:r>
      <w:r>
        <w:rPr>
          <w:rFonts w:hint="eastAsia" w:asciiTheme="majorEastAsia" w:hAnsiTheme="majorEastAsia" w:eastAsiaTheme="majorEastAsia" w:cstheme="majorEastAsia"/>
          <w:b w:val="0"/>
          <w:bCs/>
          <w:sz w:val="24"/>
          <w:szCs w:val="24"/>
        </w:rPr>
        <w:t>文件提交</w:t>
      </w:r>
    </w:p>
    <w:p w14:paraId="40C1A4F7">
      <w:pPr>
        <w:spacing w:line="480" w:lineRule="exact"/>
        <w:rPr>
          <w:rFonts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sz w:val="24"/>
          <w:szCs w:val="24"/>
        </w:rPr>
        <w:t>（1）报价文件提交起止时间：</w:t>
      </w:r>
      <w:r>
        <w:rPr>
          <w:rFonts w:hint="eastAsia" w:asciiTheme="majorEastAsia" w:hAnsiTheme="majorEastAsia" w:eastAsiaTheme="majorEastAsia" w:cstheme="majorEastAsia"/>
          <w:b/>
          <w:bCs/>
          <w:sz w:val="24"/>
          <w:szCs w:val="24"/>
          <w:highlight w:val="none"/>
          <w:u w:val="single"/>
        </w:rPr>
        <w:t>2026年</w:t>
      </w:r>
      <w:r>
        <w:rPr>
          <w:rFonts w:hint="eastAsia" w:asciiTheme="majorEastAsia" w:hAnsiTheme="majorEastAsia" w:eastAsiaTheme="majorEastAsia" w:cstheme="majorEastAsia"/>
          <w:b/>
          <w:bCs/>
          <w:sz w:val="24"/>
          <w:szCs w:val="24"/>
          <w:highlight w:val="none"/>
          <w:u w:val="single"/>
          <w:lang w:val="en-US" w:eastAsia="zh-CN"/>
        </w:rPr>
        <w:t>11</w:t>
      </w:r>
      <w:r>
        <w:rPr>
          <w:rFonts w:hint="eastAsia" w:asciiTheme="majorEastAsia" w:hAnsiTheme="majorEastAsia" w:eastAsiaTheme="majorEastAsia" w:cstheme="majorEastAsia"/>
          <w:b/>
          <w:bCs/>
          <w:sz w:val="24"/>
          <w:szCs w:val="24"/>
          <w:highlight w:val="none"/>
          <w:u w:val="single"/>
        </w:rPr>
        <w:t>月</w:t>
      </w:r>
      <w:r>
        <w:rPr>
          <w:rFonts w:hint="eastAsia" w:asciiTheme="majorEastAsia" w:hAnsiTheme="majorEastAsia" w:eastAsiaTheme="majorEastAsia" w:cstheme="majorEastAsia"/>
          <w:b/>
          <w:bCs/>
          <w:sz w:val="24"/>
          <w:szCs w:val="24"/>
          <w:highlight w:val="none"/>
          <w:u w:val="single"/>
          <w:lang w:val="en-US" w:eastAsia="zh-CN"/>
        </w:rPr>
        <w:t>12</w:t>
      </w:r>
      <w:r>
        <w:rPr>
          <w:rFonts w:hint="eastAsia" w:asciiTheme="majorEastAsia" w:hAnsiTheme="majorEastAsia" w:eastAsiaTheme="majorEastAsia" w:cstheme="majorEastAsia"/>
          <w:b/>
          <w:bCs/>
          <w:sz w:val="24"/>
          <w:szCs w:val="24"/>
          <w:highlight w:val="none"/>
          <w:u w:val="single"/>
        </w:rPr>
        <w:t>日9时00分至9时30分</w:t>
      </w:r>
      <w:r>
        <w:rPr>
          <w:rFonts w:hint="eastAsia" w:asciiTheme="majorEastAsia" w:hAnsiTheme="majorEastAsia" w:eastAsiaTheme="majorEastAsia" w:cstheme="majorEastAsia"/>
          <w:b/>
          <w:bCs/>
          <w:sz w:val="24"/>
          <w:szCs w:val="24"/>
          <w:highlight w:val="none"/>
        </w:rPr>
        <w:t>（北京时间）</w:t>
      </w:r>
    </w:p>
    <w:p w14:paraId="60993A02">
      <w:pPr>
        <w:spacing w:line="480" w:lineRule="exac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（2）文件提交地点：</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b/>
          <w:szCs w:val="21"/>
          <w:u w:val="single"/>
        </w:rPr>
        <w:t>注：报价人应当在报价文件提交截止时间前，将报价文件密封送达提交地点。在报价文件提交截止时间后送达的报价文件为无效文件，采购人将拒收。</w:t>
      </w:r>
    </w:p>
    <w:p w14:paraId="5BA32957">
      <w:pPr>
        <w:widowControl/>
        <w:adjustRightInd w:val="0"/>
        <w:snapToGrid w:val="0"/>
        <w:spacing w:line="520" w:lineRule="exact"/>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7.凡对本次采购提出询问，请按以下方式联系</w:t>
      </w:r>
    </w:p>
    <w:p w14:paraId="567E4AB4">
      <w:pPr>
        <w:widowControl/>
        <w:adjustRightInd w:val="0"/>
        <w:snapToGrid w:val="0"/>
        <w:spacing w:line="520" w:lineRule="exact"/>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bCs/>
          <w:kern w:val="0"/>
          <w:sz w:val="24"/>
          <w:szCs w:val="28"/>
          <w:lang w:bidi="en-US"/>
        </w:rPr>
        <w:t>（1）</w:t>
      </w:r>
      <w:r>
        <w:rPr>
          <w:rFonts w:hint="eastAsia" w:asciiTheme="majorEastAsia" w:hAnsiTheme="majorEastAsia" w:eastAsiaTheme="majorEastAsia" w:cstheme="majorEastAsia"/>
          <w:sz w:val="24"/>
          <w:szCs w:val="24"/>
        </w:rPr>
        <w:t>技术及需求咨询联系人：覃老师      联系电话：15078381595 。</w:t>
      </w:r>
    </w:p>
    <w:p w14:paraId="4966A16F">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 xml:space="preserve">（2）报价文件接收联系人：资产管理处办公室工作人员      联系电话：0772-3156307   </w:t>
      </w:r>
    </w:p>
    <w:p w14:paraId="5AA1FECF">
      <w:pPr>
        <w:widowControl/>
        <w:jc w:val="left"/>
        <w:rPr>
          <w:rFonts w:ascii="Arial" w:hAnsi="Arial" w:cs="Arial"/>
          <w:sz w:val="24"/>
          <w:szCs w:val="24"/>
        </w:rPr>
      </w:pPr>
    </w:p>
    <w:p w14:paraId="4C01A3FF">
      <w:pPr>
        <w:widowControl/>
        <w:ind w:firstLine="8760" w:firstLineChars="3650"/>
        <w:jc w:val="left"/>
        <w:rPr>
          <w:rFonts w:ascii="Arial" w:hAnsi="Arial" w:cs="Arial"/>
          <w:bCs/>
          <w:sz w:val="24"/>
          <w:szCs w:val="24"/>
        </w:rPr>
      </w:pPr>
      <w:r>
        <w:rPr>
          <w:rFonts w:ascii="Arial" w:hAnsi="Arial" w:cs="Arial"/>
          <w:bCs/>
          <w:sz w:val="24"/>
          <w:szCs w:val="24"/>
        </w:rPr>
        <w:t>柳州职业技术</w:t>
      </w:r>
      <w:r>
        <w:rPr>
          <w:rFonts w:hint="eastAsia" w:ascii="Arial" w:hAnsi="Arial" w:eastAsia="宋体" w:cs="Arial"/>
          <w:bCs/>
          <w:kern w:val="0"/>
          <w:sz w:val="24"/>
          <w:szCs w:val="28"/>
        </w:rPr>
        <w:t>大学</w:t>
      </w:r>
    </w:p>
    <w:p w14:paraId="702A5BB5">
      <w:pPr>
        <w:widowControl/>
        <w:jc w:val="left"/>
        <w:rPr>
          <w:rFonts w:ascii="Arial" w:hAnsi="Arial" w:cs="Arial"/>
          <w:bCs/>
          <w:sz w:val="24"/>
          <w:szCs w:val="24"/>
        </w:rPr>
      </w:pPr>
      <w:r>
        <w:rPr>
          <w:rFonts w:ascii="Arial" w:hAnsi="Arial" w:cs="Arial"/>
          <w:bCs/>
          <w:sz w:val="24"/>
          <w:szCs w:val="24"/>
        </w:rPr>
        <w:t xml:space="preserve">                                                           </w:t>
      </w:r>
      <w:r>
        <w:rPr>
          <w:rFonts w:hint="eastAsia" w:ascii="Arial" w:hAnsi="Arial" w:cs="Arial"/>
          <w:bCs/>
          <w:sz w:val="24"/>
          <w:szCs w:val="24"/>
        </w:rPr>
        <w:t xml:space="preserve">             </w:t>
      </w:r>
      <w:r>
        <w:rPr>
          <w:rFonts w:ascii="Arial" w:hAnsi="Arial" w:cs="Arial"/>
          <w:bCs/>
          <w:sz w:val="24"/>
          <w:szCs w:val="24"/>
        </w:rPr>
        <w:t xml:space="preserve"> </w:t>
      </w:r>
      <w:r>
        <w:rPr>
          <w:rFonts w:hint="eastAsia" w:ascii="Arial" w:hAnsi="Arial" w:cs="Arial"/>
          <w:bCs/>
          <w:sz w:val="24"/>
          <w:szCs w:val="24"/>
        </w:rPr>
        <w:t>2026</w:t>
      </w:r>
      <w:r>
        <w:rPr>
          <w:rFonts w:ascii="Arial" w:hAnsi="Arial" w:cs="Arial"/>
          <w:bCs/>
          <w:sz w:val="24"/>
          <w:szCs w:val="24"/>
        </w:rPr>
        <w:t>年</w:t>
      </w:r>
      <w:r>
        <w:rPr>
          <w:rFonts w:hint="eastAsia" w:ascii="Arial" w:hAnsi="Arial" w:cs="Arial"/>
          <w:bCs/>
          <w:sz w:val="24"/>
          <w:szCs w:val="24"/>
          <w:lang w:val="en-US" w:eastAsia="zh-CN"/>
        </w:rPr>
        <w:t>11</w:t>
      </w:r>
      <w:r>
        <w:rPr>
          <w:rFonts w:ascii="Arial" w:hAnsi="Arial" w:cs="Arial"/>
          <w:bCs/>
          <w:sz w:val="24"/>
          <w:szCs w:val="24"/>
        </w:rPr>
        <w:t>月</w:t>
      </w:r>
      <w:r>
        <w:rPr>
          <w:rFonts w:hint="eastAsia" w:ascii="Arial" w:hAnsi="Arial" w:cs="Arial"/>
          <w:bCs/>
          <w:sz w:val="24"/>
          <w:szCs w:val="24"/>
          <w:lang w:val="en-US" w:eastAsia="zh-CN"/>
        </w:rPr>
        <w:t>5</w:t>
      </w:r>
      <w:r>
        <w:rPr>
          <w:rFonts w:ascii="Arial" w:hAnsi="Arial" w:cs="Arial"/>
          <w:bCs/>
          <w:sz w:val="24"/>
          <w:szCs w:val="24"/>
        </w:rPr>
        <w:t>日</w:t>
      </w:r>
    </w:p>
    <w:p w14:paraId="1359F208">
      <w:pPr>
        <w:pStyle w:val="8"/>
        <w:snapToGrid w:val="0"/>
        <w:spacing w:before="295" w:after="295" w:line="400" w:lineRule="exact"/>
        <w:rPr>
          <w:rFonts w:ascii="Arial" w:hAnsi="Arial" w:cs="Arial"/>
          <w:bCs/>
          <w:sz w:val="24"/>
          <w:szCs w:val="24"/>
        </w:rPr>
      </w:pPr>
      <w:bookmarkStart w:id="52" w:name="_GoBack"/>
      <w:bookmarkEnd w:id="52"/>
    </w:p>
    <w:p w14:paraId="4591B3EC">
      <w:pPr>
        <w:pStyle w:val="9"/>
        <w:ind w:left="5250"/>
      </w:pPr>
    </w:p>
    <w:p w14:paraId="096496B2">
      <w:pPr>
        <w:pStyle w:val="7"/>
      </w:pPr>
    </w:p>
    <w:p w14:paraId="25FFD69B">
      <w:pPr>
        <w:pStyle w:val="7"/>
      </w:pPr>
    </w:p>
    <w:p w14:paraId="742E4DC1">
      <w:pPr>
        <w:pStyle w:val="7"/>
      </w:pPr>
    </w:p>
    <w:p w14:paraId="4673AFA2">
      <w:pPr>
        <w:pStyle w:val="7"/>
      </w:pPr>
    </w:p>
    <w:p w14:paraId="406173FD">
      <w:pPr>
        <w:pStyle w:val="7"/>
      </w:pPr>
    </w:p>
    <w:p w14:paraId="18E4A4C8">
      <w:pPr>
        <w:pStyle w:val="7"/>
      </w:pPr>
    </w:p>
    <w:p w14:paraId="093736C9">
      <w:pPr>
        <w:pStyle w:val="7"/>
      </w:pPr>
    </w:p>
    <w:p w14:paraId="69BF4FC5">
      <w:pPr>
        <w:pStyle w:val="7"/>
      </w:pPr>
    </w:p>
    <w:p w14:paraId="015E0F3E">
      <w:pPr>
        <w:pStyle w:val="7"/>
      </w:pPr>
    </w:p>
    <w:p w14:paraId="4A627CD7">
      <w:pPr>
        <w:pStyle w:val="7"/>
      </w:pPr>
    </w:p>
    <w:p w14:paraId="5084B28A">
      <w:pPr>
        <w:pStyle w:val="7"/>
      </w:pPr>
    </w:p>
    <w:p w14:paraId="310E176A">
      <w:pPr>
        <w:pStyle w:val="7"/>
      </w:pPr>
    </w:p>
    <w:p w14:paraId="74008094">
      <w:pPr>
        <w:pStyle w:val="7"/>
      </w:pPr>
    </w:p>
    <w:p w14:paraId="0FEA6717">
      <w:pPr>
        <w:pStyle w:val="7"/>
      </w:pPr>
    </w:p>
    <w:p w14:paraId="54BDF046">
      <w:pPr>
        <w:pStyle w:val="7"/>
      </w:pPr>
    </w:p>
    <w:p w14:paraId="2D031449">
      <w:pPr>
        <w:pStyle w:val="7"/>
      </w:pPr>
    </w:p>
    <w:p w14:paraId="305ED1FF">
      <w:pPr>
        <w:pStyle w:val="7"/>
      </w:pPr>
    </w:p>
    <w:p w14:paraId="3F6BA545">
      <w:pPr>
        <w:pStyle w:val="7"/>
      </w:pPr>
    </w:p>
    <w:p w14:paraId="6FE618AF">
      <w:pPr>
        <w:pStyle w:val="7"/>
      </w:pPr>
    </w:p>
    <w:p w14:paraId="153398B0">
      <w:pPr>
        <w:pStyle w:val="7"/>
      </w:pPr>
    </w:p>
    <w:p w14:paraId="36688C53">
      <w:pPr>
        <w:pStyle w:val="7"/>
      </w:pPr>
    </w:p>
    <w:p w14:paraId="69001F4E">
      <w:pPr>
        <w:pStyle w:val="7"/>
      </w:pPr>
    </w:p>
    <w:p w14:paraId="20BF5654">
      <w:pPr>
        <w:pStyle w:val="7"/>
      </w:pPr>
    </w:p>
    <w:p w14:paraId="51C05D38">
      <w:pPr>
        <w:pStyle w:val="7"/>
      </w:pPr>
    </w:p>
    <w:p w14:paraId="4D4F9484">
      <w:pPr>
        <w:pStyle w:val="7"/>
        <w:jc w:val="center"/>
        <w:rPr>
          <w:rFonts w:hint="eastAsia"/>
          <w:b/>
          <w:sz w:val="56"/>
          <w:szCs w:val="48"/>
        </w:rPr>
      </w:pPr>
      <w:r>
        <w:rPr>
          <w:rFonts w:hint="eastAsia"/>
          <w:b/>
          <w:sz w:val="52"/>
          <w:szCs w:val="44"/>
        </w:rPr>
        <w:t xml:space="preserve"> </w:t>
      </w:r>
      <w:r>
        <w:rPr>
          <w:rFonts w:hint="eastAsia"/>
          <w:b/>
          <w:sz w:val="56"/>
          <w:szCs w:val="48"/>
        </w:rPr>
        <w:t>报价文件格式</w:t>
      </w:r>
    </w:p>
    <w:p w14:paraId="060AE986">
      <w:pPr>
        <w:pStyle w:val="7"/>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7"/>
        <w:jc w:val="center"/>
        <w:rPr>
          <w:b/>
          <w:sz w:val="44"/>
          <w:szCs w:val="36"/>
        </w:rPr>
      </w:pPr>
    </w:p>
    <w:p w14:paraId="02D476A6">
      <w:pPr>
        <w:pStyle w:val="7"/>
        <w:jc w:val="center"/>
        <w:rPr>
          <w:b/>
          <w:sz w:val="44"/>
          <w:szCs w:val="36"/>
        </w:rPr>
      </w:pPr>
    </w:p>
    <w:p w14:paraId="49BF47B9">
      <w:pPr>
        <w:pStyle w:val="7"/>
        <w:jc w:val="center"/>
        <w:rPr>
          <w:b/>
          <w:sz w:val="44"/>
          <w:szCs w:val="36"/>
        </w:rPr>
      </w:pPr>
    </w:p>
    <w:p w14:paraId="5394164E">
      <w:pPr>
        <w:pStyle w:val="7"/>
        <w:jc w:val="center"/>
        <w:rPr>
          <w:b/>
          <w:sz w:val="44"/>
          <w:szCs w:val="36"/>
        </w:rPr>
      </w:pPr>
    </w:p>
    <w:p w14:paraId="4570D53B">
      <w:pPr>
        <w:pStyle w:val="7"/>
        <w:jc w:val="center"/>
        <w:rPr>
          <w:b/>
          <w:sz w:val="44"/>
          <w:szCs w:val="36"/>
        </w:rPr>
      </w:pPr>
    </w:p>
    <w:p w14:paraId="25392A60">
      <w:pPr>
        <w:pStyle w:val="7"/>
        <w:jc w:val="center"/>
        <w:rPr>
          <w:b/>
          <w:sz w:val="44"/>
          <w:szCs w:val="36"/>
        </w:rPr>
      </w:pPr>
    </w:p>
    <w:p w14:paraId="49A58C04">
      <w:pPr>
        <w:pStyle w:val="7"/>
        <w:jc w:val="center"/>
        <w:rPr>
          <w:b/>
          <w:sz w:val="44"/>
          <w:szCs w:val="36"/>
        </w:rPr>
      </w:pPr>
    </w:p>
    <w:p w14:paraId="17D13CBC">
      <w:pPr>
        <w:pStyle w:val="7"/>
        <w:jc w:val="center"/>
        <w:rPr>
          <w:b/>
          <w:sz w:val="44"/>
          <w:szCs w:val="36"/>
        </w:rPr>
      </w:pPr>
    </w:p>
    <w:p w14:paraId="1E10EDF3">
      <w:pPr>
        <w:pStyle w:val="7"/>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7"/>
        <w:rPr>
          <w:sz w:val="24"/>
          <w:szCs w:val="24"/>
        </w:rPr>
      </w:pPr>
    </w:p>
    <w:p w14:paraId="12209BF0">
      <w:pPr>
        <w:pStyle w:val="7"/>
        <w:rPr>
          <w:sz w:val="24"/>
          <w:szCs w:val="24"/>
        </w:rPr>
      </w:pPr>
    </w:p>
    <w:p w14:paraId="06FF3462">
      <w:pPr>
        <w:pStyle w:val="7"/>
        <w:rPr>
          <w:sz w:val="24"/>
          <w:szCs w:val="24"/>
        </w:rPr>
      </w:pPr>
    </w:p>
    <w:p w14:paraId="07FBBC3F">
      <w:pPr>
        <w:pStyle w:val="7"/>
        <w:rPr>
          <w:sz w:val="24"/>
          <w:szCs w:val="24"/>
        </w:rPr>
      </w:pPr>
    </w:p>
    <w:p w14:paraId="0AA53577">
      <w:pPr>
        <w:pStyle w:val="7"/>
        <w:rPr>
          <w:sz w:val="24"/>
          <w:szCs w:val="24"/>
        </w:rPr>
      </w:pPr>
    </w:p>
    <w:p w14:paraId="1C137EAD">
      <w:pPr>
        <w:pStyle w:val="7"/>
        <w:rPr>
          <w:sz w:val="24"/>
          <w:szCs w:val="24"/>
        </w:rPr>
      </w:pPr>
    </w:p>
    <w:p w14:paraId="72531295">
      <w:pPr>
        <w:pStyle w:val="7"/>
        <w:rPr>
          <w:sz w:val="24"/>
          <w:szCs w:val="24"/>
        </w:rPr>
      </w:pPr>
    </w:p>
    <w:p w14:paraId="52F4E7BB">
      <w:pPr>
        <w:pStyle w:val="7"/>
        <w:rPr>
          <w:sz w:val="24"/>
          <w:szCs w:val="24"/>
        </w:rPr>
      </w:pPr>
    </w:p>
    <w:p w14:paraId="2C206DBF">
      <w:pPr>
        <w:pStyle w:val="41"/>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7"/>
        <w:rPr>
          <w:sz w:val="24"/>
          <w:szCs w:val="24"/>
        </w:rPr>
      </w:pPr>
    </w:p>
    <w:p w14:paraId="32EB8D36">
      <w:pPr>
        <w:pStyle w:val="7"/>
        <w:rPr>
          <w:sz w:val="24"/>
          <w:szCs w:val="24"/>
        </w:rPr>
      </w:pPr>
    </w:p>
    <w:p w14:paraId="73418218">
      <w:pPr>
        <w:pStyle w:val="7"/>
        <w:rPr>
          <w:sz w:val="24"/>
          <w:szCs w:val="24"/>
        </w:rPr>
      </w:pPr>
    </w:p>
    <w:p w14:paraId="5656109E">
      <w:pPr>
        <w:pStyle w:val="7"/>
        <w:rPr>
          <w:sz w:val="24"/>
          <w:szCs w:val="24"/>
        </w:rPr>
      </w:pPr>
    </w:p>
    <w:p w14:paraId="4B4A401B">
      <w:pPr>
        <w:pStyle w:val="7"/>
        <w:rPr>
          <w:sz w:val="24"/>
          <w:szCs w:val="24"/>
        </w:rPr>
      </w:pPr>
    </w:p>
    <w:p w14:paraId="16E3B375">
      <w:pPr>
        <w:pStyle w:val="7"/>
        <w:rPr>
          <w:sz w:val="24"/>
          <w:szCs w:val="24"/>
        </w:rPr>
      </w:pPr>
    </w:p>
    <w:p w14:paraId="4EB65920">
      <w:pPr>
        <w:pStyle w:val="7"/>
        <w:rPr>
          <w:sz w:val="24"/>
          <w:szCs w:val="24"/>
        </w:rPr>
      </w:pPr>
    </w:p>
    <w:p w14:paraId="7DEE05E4">
      <w:pPr>
        <w:pStyle w:val="7"/>
        <w:rPr>
          <w:sz w:val="24"/>
          <w:szCs w:val="24"/>
        </w:rPr>
      </w:pPr>
    </w:p>
    <w:p w14:paraId="4EDCFDF8">
      <w:pPr>
        <w:pStyle w:val="7"/>
        <w:rPr>
          <w:sz w:val="24"/>
          <w:szCs w:val="24"/>
        </w:rPr>
      </w:pPr>
    </w:p>
    <w:p w14:paraId="1C7FBD22">
      <w:pPr>
        <w:pStyle w:val="7"/>
        <w:rPr>
          <w:sz w:val="24"/>
          <w:szCs w:val="24"/>
        </w:rPr>
      </w:pPr>
    </w:p>
    <w:p w14:paraId="63ABF27E">
      <w:pPr>
        <w:pStyle w:val="7"/>
        <w:rPr>
          <w:sz w:val="24"/>
          <w:szCs w:val="24"/>
        </w:rPr>
      </w:pPr>
    </w:p>
    <w:p w14:paraId="6D3746F4">
      <w:pPr>
        <w:pStyle w:val="7"/>
        <w:rPr>
          <w:sz w:val="24"/>
          <w:szCs w:val="24"/>
        </w:rPr>
      </w:pPr>
    </w:p>
    <w:p w14:paraId="436AA1AB">
      <w:pPr>
        <w:pStyle w:val="7"/>
        <w:rPr>
          <w:sz w:val="24"/>
          <w:szCs w:val="24"/>
        </w:rPr>
      </w:pPr>
    </w:p>
    <w:p w14:paraId="22412CDB">
      <w:pPr>
        <w:pStyle w:val="7"/>
        <w:rPr>
          <w:sz w:val="24"/>
          <w:szCs w:val="24"/>
        </w:rPr>
      </w:pPr>
    </w:p>
    <w:p w14:paraId="024F1B32">
      <w:pPr>
        <w:pStyle w:val="7"/>
        <w:rPr>
          <w:sz w:val="24"/>
          <w:szCs w:val="24"/>
        </w:rPr>
      </w:pPr>
    </w:p>
    <w:p w14:paraId="47EE6EE4">
      <w:pPr>
        <w:pStyle w:val="7"/>
        <w:rPr>
          <w:sz w:val="24"/>
          <w:szCs w:val="24"/>
        </w:rPr>
      </w:pPr>
    </w:p>
    <w:p w14:paraId="0C39A79C">
      <w:pPr>
        <w:pStyle w:val="7"/>
        <w:rPr>
          <w:sz w:val="24"/>
          <w:szCs w:val="24"/>
        </w:rPr>
      </w:pPr>
    </w:p>
    <w:p w14:paraId="18E912AB">
      <w:pPr>
        <w:pStyle w:val="7"/>
        <w:rPr>
          <w:sz w:val="24"/>
          <w:szCs w:val="24"/>
        </w:rPr>
      </w:pPr>
    </w:p>
    <w:p w14:paraId="2D6CEE59">
      <w:pPr>
        <w:pStyle w:val="7"/>
        <w:rPr>
          <w:sz w:val="24"/>
          <w:szCs w:val="24"/>
        </w:rPr>
      </w:pPr>
    </w:p>
    <w:p w14:paraId="2DACB372">
      <w:pPr>
        <w:pStyle w:val="7"/>
        <w:rPr>
          <w:sz w:val="24"/>
          <w:szCs w:val="24"/>
        </w:rPr>
      </w:pPr>
    </w:p>
    <w:p w14:paraId="31ECB35F">
      <w:pPr>
        <w:pStyle w:val="7"/>
        <w:rPr>
          <w:sz w:val="24"/>
          <w:szCs w:val="24"/>
        </w:rPr>
      </w:pPr>
    </w:p>
    <w:p w14:paraId="6BB80F19">
      <w:pPr>
        <w:pStyle w:val="7"/>
        <w:rPr>
          <w:sz w:val="24"/>
          <w:szCs w:val="24"/>
        </w:rPr>
      </w:pPr>
    </w:p>
    <w:p w14:paraId="1BF63744">
      <w:pPr>
        <w:pStyle w:val="7"/>
        <w:rPr>
          <w:sz w:val="24"/>
          <w:szCs w:val="24"/>
        </w:rPr>
      </w:pPr>
    </w:p>
    <w:p w14:paraId="339C0DF6">
      <w:pPr>
        <w:pStyle w:val="7"/>
        <w:rPr>
          <w:sz w:val="24"/>
          <w:szCs w:val="24"/>
        </w:rPr>
      </w:pPr>
    </w:p>
    <w:p w14:paraId="64722392">
      <w:pPr>
        <w:pStyle w:val="7"/>
        <w:rPr>
          <w:sz w:val="24"/>
          <w:szCs w:val="24"/>
        </w:rPr>
      </w:pPr>
    </w:p>
    <w:p w14:paraId="0D9B1A37">
      <w:pPr>
        <w:pStyle w:val="7"/>
        <w:rPr>
          <w:sz w:val="24"/>
          <w:szCs w:val="24"/>
        </w:rPr>
      </w:pPr>
    </w:p>
    <w:p w14:paraId="7ACDC200">
      <w:pPr>
        <w:pStyle w:val="7"/>
        <w:rPr>
          <w:sz w:val="24"/>
          <w:szCs w:val="24"/>
        </w:rPr>
      </w:pPr>
    </w:p>
    <w:p w14:paraId="555BAD77">
      <w:pPr>
        <w:pStyle w:val="7"/>
        <w:rPr>
          <w:sz w:val="24"/>
          <w:szCs w:val="24"/>
        </w:rPr>
      </w:pPr>
    </w:p>
    <w:p w14:paraId="50298D57">
      <w:pPr>
        <w:pStyle w:val="7"/>
        <w:rPr>
          <w:sz w:val="24"/>
          <w:szCs w:val="24"/>
        </w:rPr>
      </w:pPr>
    </w:p>
    <w:p w14:paraId="77C0623A">
      <w:pPr>
        <w:pStyle w:val="7"/>
        <w:rPr>
          <w:sz w:val="24"/>
          <w:szCs w:val="24"/>
        </w:rPr>
      </w:pPr>
    </w:p>
    <w:p w14:paraId="3B1CA22F">
      <w:pPr>
        <w:pStyle w:val="7"/>
        <w:rPr>
          <w:sz w:val="24"/>
          <w:szCs w:val="24"/>
        </w:rPr>
      </w:pPr>
    </w:p>
    <w:p w14:paraId="206EB449">
      <w:pPr>
        <w:pStyle w:val="7"/>
        <w:rPr>
          <w:sz w:val="24"/>
          <w:szCs w:val="24"/>
        </w:rPr>
      </w:pPr>
    </w:p>
    <w:p w14:paraId="1722A923">
      <w:pPr>
        <w:pStyle w:val="7"/>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7"/>
      </w:pPr>
    </w:p>
    <w:p w14:paraId="739584C9">
      <w:pPr>
        <w:pStyle w:val="7"/>
      </w:pPr>
    </w:p>
    <w:p w14:paraId="5C5EC382">
      <w:pPr>
        <w:pStyle w:val="7"/>
      </w:pPr>
    </w:p>
    <w:p w14:paraId="4D1E28EA">
      <w:pPr>
        <w:pStyle w:val="7"/>
      </w:pPr>
    </w:p>
    <w:p w14:paraId="135A2CC1">
      <w:pPr>
        <w:pStyle w:val="7"/>
      </w:pPr>
    </w:p>
    <w:p w14:paraId="4DFC9FDD">
      <w:pPr>
        <w:pStyle w:val="7"/>
      </w:pPr>
    </w:p>
    <w:p w14:paraId="60A282D9">
      <w:pPr>
        <w:pStyle w:val="7"/>
      </w:pPr>
    </w:p>
    <w:p w14:paraId="633D4097">
      <w:pPr>
        <w:pStyle w:val="7"/>
      </w:pPr>
    </w:p>
    <w:p w14:paraId="02E19134">
      <w:pPr>
        <w:pStyle w:val="7"/>
      </w:pPr>
    </w:p>
    <w:p w14:paraId="3BE28DBF">
      <w:pPr>
        <w:pStyle w:val="7"/>
      </w:pPr>
    </w:p>
    <w:p w14:paraId="4D4B07C8">
      <w:pPr>
        <w:pStyle w:val="7"/>
      </w:pPr>
    </w:p>
    <w:p w14:paraId="0683A70F">
      <w:pPr>
        <w:pStyle w:val="7"/>
      </w:pPr>
    </w:p>
    <w:p w14:paraId="58486291">
      <w:pPr>
        <w:pStyle w:val="7"/>
      </w:pPr>
    </w:p>
    <w:p w14:paraId="7EBF38F6">
      <w:pPr>
        <w:pStyle w:val="7"/>
      </w:pPr>
    </w:p>
    <w:p w14:paraId="0DEF85EC">
      <w:pPr>
        <w:pStyle w:val="7"/>
      </w:pPr>
    </w:p>
    <w:p w14:paraId="568AB681">
      <w:pPr>
        <w:pStyle w:val="7"/>
      </w:pPr>
    </w:p>
    <w:p w14:paraId="75CF8CCE">
      <w:pPr>
        <w:pStyle w:val="7"/>
      </w:pPr>
    </w:p>
    <w:p w14:paraId="43B506B2">
      <w:pPr>
        <w:pStyle w:val="7"/>
      </w:pPr>
    </w:p>
    <w:p w14:paraId="47DE2199">
      <w:pPr>
        <w:pStyle w:val="7"/>
      </w:pPr>
    </w:p>
    <w:p w14:paraId="71247007">
      <w:pPr>
        <w:pStyle w:val="7"/>
      </w:pPr>
    </w:p>
    <w:p w14:paraId="0CBD26D6">
      <w:pPr>
        <w:pStyle w:val="7"/>
      </w:pPr>
    </w:p>
    <w:p w14:paraId="10517574">
      <w:pPr>
        <w:pStyle w:val="7"/>
      </w:pPr>
    </w:p>
    <w:p w14:paraId="42AC2D8E">
      <w:pPr>
        <w:pStyle w:val="7"/>
      </w:pPr>
    </w:p>
    <w:p w14:paraId="7578E787">
      <w:pPr>
        <w:pStyle w:val="7"/>
      </w:pPr>
    </w:p>
    <w:p w14:paraId="63A1FEE1">
      <w:pPr>
        <w:pStyle w:val="7"/>
      </w:pPr>
    </w:p>
    <w:p w14:paraId="61FE5F38">
      <w:pPr>
        <w:pStyle w:val="7"/>
      </w:pPr>
    </w:p>
    <w:p w14:paraId="1A8AFCE7">
      <w:pPr>
        <w:pStyle w:val="7"/>
      </w:pPr>
    </w:p>
    <w:p w14:paraId="2008DA94">
      <w:pPr>
        <w:pStyle w:val="7"/>
      </w:pPr>
    </w:p>
    <w:p w14:paraId="3F793452">
      <w:pPr>
        <w:pStyle w:val="7"/>
      </w:pPr>
    </w:p>
    <w:p w14:paraId="10A56257">
      <w:pPr>
        <w:pStyle w:val="7"/>
      </w:pPr>
    </w:p>
    <w:p w14:paraId="6EF51BB8">
      <w:pPr>
        <w:pStyle w:val="7"/>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7"/>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618E503A">
      <w:pPr>
        <w:spacing w:line="360" w:lineRule="auto"/>
        <w:ind w:firstLine="600" w:firstLineChars="200"/>
        <w:contextualSpacing/>
        <w:jc w:val="left"/>
        <w:rPr>
          <w:rFonts w:ascii="宋体" w:hAnsi="Times New Roman" w:eastAsia="仿宋" w:cs="Times New Roman"/>
          <w:b/>
          <w:bCs/>
          <w:kern w:val="0"/>
          <w:sz w:val="30"/>
          <w:szCs w:val="32"/>
        </w:rPr>
      </w:pPr>
      <w:r>
        <w:rPr>
          <w:rFonts w:hint="eastAsia" w:ascii="仿宋" w:hAnsi="仿宋" w:eastAsia="仿宋" w:cs="仿宋_GB2312"/>
          <w:sz w:val="30"/>
          <w:szCs w:val="30"/>
        </w:rPr>
        <w:t>2.法人、其他组织投标时“我方”是指“我单位”，自然人投标时“我方”是指“本人”。</w:t>
      </w:r>
    </w:p>
    <w:p w14:paraId="09E1A88C">
      <w:pPr>
        <w:pStyle w:val="7"/>
      </w:pPr>
    </w:p>
    <w:p w14:paraId="3F5C69F4">
      <w:pPr>
        <w:jc w:val="left"/>
        <w:outlineLvl w:val="1"/>
        <w:rPr>
          <w:rFonts w:hint="eastAsia" w:ascii="仿宋" w:hAnsi="仿宋" w:eastAsia="仿宋" w:cs="Times New Roman"/>
          <w:b/>
          <w:sz w:val="36"/>
          <w:szCs w:val="21"/>
          <w:lang w:val="en-US" w:eastAsia="zh-CN"/>
        </w:rPr>
      </w:pP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33436BC2">
      <w:pPr>
        <w:jc w:val="left"/>
        <w:outlineLvl w:val="1"/>
        <w:rPr>
          <w:rFonts w:hint="eastAsia" w:ascii="仿宋" w:hAnsi="仿宋" w:eastAsia="仿宋" w:cs="Times New Roman"/>
          <w:b/>
          <w:sz w:val="28"/>
          <w:szCs w:val="18"/>
        </w:rPr>
      </w:pPr>
    </w:p>
    <w:p w14:paraId="55491F36">
      <w:pPr>
        <w:jc w:val="left"/>
        <w:outlineLvl w:val="1"/>
        <w:rPr>
          <w:rFonts w:hint="eastAsia" w:ascii="仿宋" w:hAnsi="仿宋" w:eastAsia="仿宋" w:cs="Times New Roman"/>
          <w:b/>
          <w:sz w:val="28"/>
          <w:szCs w:val="18"/>
        </w:rPr>
      </w:pPr>
    </w:p>
    <w:p w14:paraId="25224699">
      <w:pPr>
        <w:jc w:val="left"/>
        <w:outlineLvl w:val="1"/>
        <w:rPr>
          <w:rFonts w:hint="eastAsia" w:ascii="仿宋" w:hAnsi="仿宋" w:eastAsia="仿宋" w:cs="Times New Roman"/>
          <w:b/>
          <w:sz w:val="28"/>
          <w:szCs w:val="18"/>
        </w:rPr>
      </w:pPr>
    </w:p>
    <w:p w14:paraId="3EF89EAE">
      <w:pPr>
        <w:jc w:val="left"/>
        <w:outlineLvl w:val="1"/>
        <w:rPr>
          <w:rFonts w:hint="eastAsia" w:ascii="仿宋" w:hAnsi="仿宋" w:eastAsia="仿宋" w:cs="Times New Roman"/>
          <w:b/>
          <w:sz w:val="28"/>
          <w:szCs w:val="18"/>
        </w:rPr>
      </w:pPr>
    </w:p>
    <w:p w14:paraId="2006D35B">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8"/>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8"/>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8"/>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055910F7">
      <w:pPr>
        <w:pStyle w:val="7"/>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6067EE4">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项目编号：</w:t>
      </w:r>
      <w:r>
        <w:rPr>
          <w:rFonts w:hint="eastAsia" w:ascii="仿宋" w:hAnsi="仿宋" w:eastAsia="仿宋"/>
          <w:sz w:val="30"/>
          <w:szCs w:val="30"/>
          <w:u w:val="single"/>
        </w:rPr>
        <w:t xml:space="preserve">                 </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7"/>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7"/>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8"/>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9"/>
        <w:ind w:left="5250"/>
      </w:pPr>
    </w:p>
    <w:p w14:paraId="0BEFCCE9">
      <w:pPr>
        <w:pStyle w:val="8"/>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9"/>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7"/>
        <w:jc w:val="left"/>
      </w:pPr>
    </w:p>
    <w:p w14:paraId="36FF8613">
      <w:pPr>
        <w:pStyle w:val="7"/>
        <w:jc w:val="left"/>
      </w:pPr>
    </w:p>
    <w:p w14:paraId="26E994BA">
      <w:pPr>
        <w:pStyle w:val="7"/>
        <w:jc w:val="left"/>
      </w:pPr>
    </w:p>
    <w:p w14:paraId="41291252">
      <w:pPr>
        <w:pStyle w:val="7"/>
        <w:jc w:val="left"/>
      </w:pPr>
    </w:p>
    <w:p w14:paraId="1798EB0B">
      <w:pPr>
        <w:pStyle w:val="7"/>
        <w:jc w:val="left"/>
      </w:pPr>
    </w:p>
    <w:p w14:paraId="6BA368F5">
      <w:pPr>
        <w:pStyle w:val="7"/>
        <w:numPr>
          <w:ilvl w:val="0"/>
          <w:numId w:val="0"/>
        </w:numPr>
        <w:ind w:leftChars="0"/>
        <w:jc w:val="left"/>
        <w:rPr>
          <w:rFonts w:hint="eastAsia"/>
          <w:b/>
          <w:sz w:val="36"/>
          <w:szCs w:val="36"/>
          <w:lang w:val="en-US" w:eastAsia="zh-CN"/>
        </w:rPr>
      </w:pPr>
    </w:p>
    <w:p w14:paraId="4905FA6F">
      <w:pPr>
        <w:pStyle w:val="7"/>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41CE2CC3">
      <w:pPr>
        <w:jc w:val="center"/>
        <w:rPr>
          <w:rFonts w:hint="default" w:ascii="仿宋" w:hAnsi="仿宋" w:eastAsia="仿宋"/>
          <w:b/>
          <w:sz w:val="40"/>
          <w:szCs w:val="40"/>
          <w:lang w:val="en-US" w:eastAsia="zh-CN"/>
        </w:rPr>
      </w:pPr>
      <w:r>
        <w:rPr>
          <w:rFonts w:hint="eastAsia" w:ascii="仿宋" w:hAnsi="仿宋" w:eastAsia="仿宋"/>
          <w:b/>
          <w:sz w:val="40"/>
          <w:szCs w:val="40"/>
          <w:lang w:val="en-US" w:eastAsia="zh-CN"/>
        </w:rPr>
        <w:t>商务、技术响应、偏离情况说明表格</w:t>
      </w:r>
    </w:p>
    <w:p w14:paraId="0E09BE0A">
      <w:pPr>
        <w:pStyle w:val="7"/>
        <w:numPr>
          <w:ilvl w:val="0"/>
          <w:numId w:val="0"/>
        </w:numPr>
        <w:ind w:leftChars="0"/>
        <w:jc w:val="left"/>
        <w:rPr>
          <w:rFonts w:hint="default"/>
          <w:b/>
          <w:sz w:val="36"/>
          <w:szCs w:val="36"/>
          <w:lang w:val="en-US" w:eastAsia="zh-CN"/>
        </w:rPr>
      </w:pPr>
    </w:p>
    <w:p w14:paraId="63397DC4">
      <w:pPr>
        <w:spacing w:before="156" w:beforeLines="50" w:after="156" w:afterLines="50" w:line="360" w:lineRule="exact"/>
        <w:rPr>
          <w:rFonts w:ascii="宋体" w:hAnsi="宋体"/>
          <w:sz w:val="28"/>
        </w:rPr>
      </w:pPr>
      <w:r>
        <w:rPr>
          <w:rFonts w:hint="eastAsia" w:ascii="宋体" w:hAnsi="宋体"/>
          <w:sz w:val="28"/>
        </w:rPr>
        <w:t>采购编号：</w:t>
      </w:r>
      <w:r>
        <w:rPr>
          <w:rFonts w:hint="eastAsia" w:ascii="宋体" w:hAnsi="宋体"/>
          <w:sz w:val="28"/>
          <w:u w:val="single"/>
        </w:rPr>
        <w:t xml:space="preserve">                       </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405905876"/>
            <w:bookmarkStart w:id="3" w:name="_Toc173211900"/>
            <w:bookmarkStart w:id="4" w:name="_Toc173066401"/>
            <w:bookmarkStart w:id="5" w:name="_Toc254970729"/>
            <w:bookmarkStart w:id="6" w:name="_Toc254970588"/>
            <w:bookmarkStart w:id="7" w:name="_Toc171349578"/>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173211903"/>
            <w:bookmarkStart w:id="9" w:name="_Toc171349581"/>
            <w:bookmarkStart w:id="10" w:name="_Toc254970732"/>
            <w:bookmarkStart w:id="11" w:name="_Toc254970591"/>
            <w:bookmarkStart w:id="12" w:name="_Toc173066404"/>
            <w:bookmarkStart w:id="13" w:name="_Toc405905879"/>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254970733"/>
            <w:bookmarkStart w:id="15" w:name="_Toc173211904"/>
            <w:bookmarkStart w:id="16" w:name="_Toc254970592"/>
            <w:bookmarkStart w:id="17" w:name="_Toc171349582"/>
            <w:bookmarkStart w:id="18" w:name="_Toc173066405"/>
            <w:bookmarkStart w:id="19" w:name="_Toc405905880"/>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171349583"/>
            <w:bookmarkStart w:id="21" w:name="_Toc405905881"/>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171349584"/>
            <w:bookmarkStart w:id="23" w:name="_Toc405905882"/>
            <w:bookmarkStart w:id="24" w:name="_Toc173211905"/>
            <w:bookmarkStart w:id="25" w:name="_Toc173066406"/>
            <w:bookmarkStart w:id="26" w:name="_Toc254970734"/>
            <w:bookmarkStart w:id="27" w:name="_Toc254970593"/>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254970735"/>
            <w:bookmarkStart w:id="29" w:name="_Toc405905883"/>
            <w:bookmarkStart w:id="30" w:name="_Toc173211906"/>
            <w:bookmarkStart w:id="31" w:name="_Toc173066407"/>
            <w:bookmarkStart w:id="32" w:name="_Toc171349585"/>
            <w:bookmarkStart w:id="33" w:name="_Toc254970594"/>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173211907"/>
            <w:bookmarkStart w:id="35" w:name="_Toc173066408"/>
            <w:bookmarkStart w:id="36" w:name="_Toc405905884"/>
            <w:bookmarkStart w:id="37" w:name="_Toc254970736"/>
            <w:bookmarkStart w:id="38" w:name="_Toc171349586"/>
            <w:bookmarkStart w:id="39" w:name="_Toc254970595"/>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405905885"/>
            <w:bookmarkStart w:id="41" w:name="_Toc171349587"/>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171349588"/>
            <w:bookmarkStart w:id="43" w:name="_Toc405905886"/>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171349589"/>
            <w:bookmarkStart w:id="45" w:name="_Toc405905887"/>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171349590"/>
            <w:bookmarkStart w:id="47" w:name="_Toc405905888"/>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171349592"/>
            <w:bookmarkStart w:id="51" w:name="_Toc405905890"/>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7"/>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7"/>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7"/>
        <w:jc w:val="left"/>
        <w:rPr>
          <w:rFonts w:ascii="宋体" w:hAnsi="宋体" w:cs="宋体"/>
          <w:b/>
          <w:sz w:val="24"/>
          <w:szCs w:val="24"/>
        </w:rPr>
      </w:pPr>
    </w:p>
    <w:p w14:paraId="54141A58">
      <w:pPr>
        <w:pStyle w:val="7"/>
        <w:jc w:val="left"/>
      </w:pPr>
      <w:r>
        <w:rPr>
          <w:rFonts w:hint="eastAsia" w:ascii="宋体" w:hAnsi="宋体" w:cs="宋体"/>
          <w:b/>
          <w:sz w:val="24"/>
          <w:szCs w:val="24"/>
        </w:rPr>
        <w:t xml:space="preserve">      　　　　　　　　　　　　　                           日期：   年  月  日</w:t>
      </w:r>
    </w:p>
    <w:sectPr>
      <w:pgSz w:w="11906" w:h="16838"/>
      <w:pgMar w:top="567" w:right="0" w:bottom="567" w:left="28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9B722"/>
    <w:multiLevelType w:val="singleLevel"/>
    <w:tmpl w:val="90D9B722"/>
    <w:lvl w:ilvl="0" w:tentative="0">
      <w:start w:val="1"/>
      <w:numFmt w:val="decimal"/>
      <w:lvlText w:val="%1."/>
      <w:lvlJc w:val="left"/>
      <w:pPr>
        <w:tabs>
          <w:tab w:val="left" w:pos="312"/>
        </w:tabs>
      </w:pPr>
    </w:lvl>
  </w:abstractNum>
  <w:abstractNum w:abstractNumId="1">
    <w:nsid w:val="991A295F"/>
    <w:multiLevelType w:val="singleLevel"/>
    <w:tmpl w:val="991A295F"/>
    <w:lvl w:ilvl="0" w:tentative="0">
      <w:start w:val="1"/>
      <w:numFmt w:val="decimal"/>
      <w:suff w:val="nothing"/>
      <w:lvlText w:val="（%1）"/>
      <w:lvlJc w:val="left"/>
    </w:lvl>
  </w:abstractNum>
  <w:abstractNum w:abstractNumId="2">
    <w:nsid w:val="D90BBDFD"/>
    <w:multiLevelType w:val="singleLevel"/>
    <w:tmpl w:val="D90BBDFD"/>
    <w:lvl w:ilvl="0" w:tentative="0">
      <w:start w:val="1"/>
      <w:numFmt w:val="decimal"/>
      <w:lvlText w:val="%1."/>
      <w:lvlJc w:val="left"/>
      <w:pPr>
        <w:tabs>
          <w:tab w:val="left" w:pos="312"/>
        </w:tabs>
      </w:pPr>
    </w:lvl>
  </w:abstractNum>
  <w:abstractNum w:abstractNumId="3">
    <w:nsid w:val="DAC47951"/>
    <w:multiLevelType w:val="singleLevel"/>
    <w:tmpl w:val="DAC47951"/>
    <w:lvl w:ilvl="0" w:tentative="0">
      <w:start w:val="1"/>
      <w:numFmt w:val="decimal"/>
      <w:lvlText w:val="%1."/>
      <w:lvlJc w:val="left"/>
      <w:pPr>
        <w:tabs>
          <w:tab w:val="left" w:pos="312"/>
        </w:tabs>
      </w:pPr>
    </w:lvl>
  </w:abstractNum>
  <w:abstractNum w:abstractNumId="4">
    <w:nsid w:val="230DE0AE"/>
    <w:multiLevelType w:val="singleLevel"/>
    <w:tmpl w:val="230DE0AE"/>
    <w:lvl w:ilvl="0" w:tentative="0">
      <w:start w:val="1"/>
      <w:numFmt w:val="decimal"/>
      <w:lvlText w:val="%1."/>
      <w:lvlJc w:val="left"/>
      <w:pPr>
        <w:tabs>
          <w:tab w:val="left" w:pos="312"/>
        </w:tabs>
      </w:pPr>
    </w:lvl>
  </w:abstractNum>
  <w:abstractNum w:abstractNumId="5">
    <w:nsid w:val="455590AE"/>
    <w:multiLevelType w:val="singleLevel"/>
    <w:tmpl w:val="455590AE"/>
    <w:lvl w:ilvl="0" w:tentative="0">
      <w:start w:val="1"/>
      <w:numFmt w:val="decimal"/>
      <w:lvlText w:val="%1."/>
      <w:lvlJc w:val="left"/>
      <w:pPr>
        <w:tabs>
          <w:tab w:val="left" w:pos="312"/>
        </w:tabs>
      </w:pPr>
    </w:lvl>
  </w:abstractNum>
  <w:abstractNum w:abstractNumId="6">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abstractNum w:abstractNumId="7">
    <w:nsid w:val="699A7AF0"/>
    <w:multiLevelType w:val="multilevel"/>
    <w:tmpl w:val="699A7AF0"/>
    <w:lvl w:ilvl="0" w:tentative="0">
      <w:start w:val="1"/>
      <w:numFmt w:val="japaneseCounting"/>
      <w:lvlText w:val="%1、"/>
      <w:lvlJc w:val="left"/>
      <w:pPr>
        <w:ind w:left="720" w:hanging="720"/>
      </w:pPr>
      <w:rPr>
        <w:rFonts w:hint="default" w:cs="Times New Roman"/>
        <w:b w:val="0"/>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0"/>
  </w:num>
  <w:num w:numId="3">
    <w:abstractNumId w:val="5"/>
  </w:num>
  <w:num w:numId="4">
    <w:abstractNumId w:val="4"/>
  </w:num>
  <w:num w:numId="5">
    <w:abstractNumId w:val="2"/>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6BD"/>
    <w:rsid w:val="000018D7"/>
    <w:rsid w:val="00004473"/>
    <w:rsid w:val="0000773F"/>
    <w:rsid w:val="000353E4"/>
    <w:rsid w:val="000371B6"/>
    <w:rsid w:val="00041884"/>
    <w:rsid w:val="00055D18"/>
    <w:rsid w:val="00082A57"/>
    <w:rsid w:val="00085DC7"/>
    <w:rsid w:val="00091BBA"/>
    <w:rsid w:val="000923F6"/>
    <w:rsid w:val="00093CB1"/>
    <w:rsid w:val="00097D3A"/>
    <w:rsid w:val="000A3C1B"/>
    <w:rsid w:val="000A5A19"/>
    <w:rsid w:val="000C12D4"/>
    <w:rsid w:val="000C7233"/>
    <w:rsid w:val="000E09B6"/>
    <w:rsid w:val="000E7B28"/>
    <w:rsid w:val="00103A4C"/>
    <w:rsid w:val="00110976"/>
    <w:rsid w:val="00111FB3"/>
    <w:rsid w:val="00125DE1"/>
    <w:rsid w:val="00126098"/>
    <w:rsid w:val="00134FBB"/>
    <w:rsid w:val="00137857"/>
    <w:rsid w:val="00143AB3"/>
    <w:rsid w:val="00147DB2"/>
    <w:rsid w:val="00161A9C"/>
    <w:rsid w:val="0016583F"/>
    <w:rsid w:val="00170FBE"/>
    <w:rsid w:val="001819B9"/>
    <w:rsid w:val="001A3AD1"/>
    <w:rsid w:val="001B5FA5"/>
    <w:rsid w:val="001C3BDA"/>
    <w:rsid w:val="001D3CCC"/>
    <w:rsid w:val="001D65E5"/>
    <w:rsid w:val="001E526E"/>
    <w:rsid w:val="00203CF6"/>
    <w:rsid w:val="0021720B"/>
    <w:rsid w:val="00223015"/>
    <w:rsid w:val="00245A85"/>
    <w:rsid w:val="0026380E"/>
    <w:rsid w:val="002720D2"/>
    <w:rsid w:val="002724AA"/>
    <w:rsid w:val="00284B2E"/>
    <w:rsid w:val="002E25C1"/>
    <w:rsid w:val="003005C7"/>
    <w:rsid w:val="003006F3"/>
    <w:rsid w:val="00302685"/>
    <w:rsid w:val="0031193C"/>
    <w:rsid w:val="003242E3"/>
    <w:rsid w:val="003517AE"/>
    <w:rsid w:val="00357151"/>
    <w:rsid w:val="003841BF"/>
    <w:rsid w:val="0038781F"/>
    <w:rsid w:val="003A7361"/>
    <w:rsid w:val="003A778C"/>
    <w:rsid w:val="003B19FE"/>
    <w:rsid w:val="003B2D64"/>
    <w:rsid w:val="003C27EA"/>
    <w:rsid w:val="003C6274"/>
    <w:rsid w:val="003C6AF5"/>
    <w:rsid w:val="003D1DF7"/>
    <w:rsid w:val="003F002C"/>
    <w:rsid w:val="003F4F5F"/>
    <w:rsid w:val="004215D2"/>
    <w:rsid w:val="00435A85"/>
    <w:rsid w:val="00450776"/>
    <w:rsid w:val="00473999"/>
    <w:rsid w:val="00475758"/>
    <w:rsid w:val="00477542"/>
    <w:rsid w:val="004808DC"/>
    <w:rsid w:val="00481096"/>
    <w:rsid w:val="00484983"/>
    <w:rsid w:val="004876BD"/>
    <w:rsid w:val="004A047B"/>
    <w:rsid w:val="004A144E"/>
    <w:rsid w:val="004A1686"/>
    <w:rsid w:val="004B0F43"/>
    <w:rsid w:val="004B399E"/>
    <w:rsid w:val="004B50B7"/>
    <w:rsid w:val="004B5C02"/>
    <w:rsid w:val="004B5D6F"/>
    <w:rsid w:val="004D39AE"/>
    <w:rsid w:val="004D71C9"/>
    <w:rsid w:val="004E47D4"/>
    <w:rsid w:val="004E56D9"/>
    <w:rsid w:val="004F4853"/>
    <w:rsid w:val="00530FA9"/>
    <w:rsid w:val="00540D48"/>
    <w:rsid w:val="005417EA"/>
    <w:rsid w:val="00544392"/>
    <w:rsid w:val="00545F20"/>
    <w:rsid w:val="005527E5"/>
    <w:rsid w:val="005640F4"/>
    <w:rsid w:val="0056697D"/>
    <w:rsid w:val="00567370"/>
    <w:rsid w:val="0057651C"/>
    <w:rsid w:val="0058310B"/>
    <w:rsid w:val="00583B87"/>
    <w:rsid w:val="005912AA"/>
    <w:rsid w:val="00591B20"/>
    <w:rsid w:val="005A28E4"/>
    <w:rsid w:val="005A2C42"/>
    <w:rsid w:val="005B6934"/>
    <w:rsid w:val="005B7AD7"/>
    <w:rsid w:val="005C0A72"/>
    <w:rsid w:val="005D169E"/>
    <w:rsid w:val="005E6B06"/>
    <w:rsid w:val="00601983"/>
    <w:rsid w:val="00602370"/>
    <w:rsid w:val="0060364D"/>
    <w:rsid w:val="00630019"/>
    <w:rsid w:val="00646167"/>
    <w:rsid w:val="00664795"/>
    <w:rsid w:val="00677DB4"/>
    <w:rsid w:val="0068443C"/>
    <w:rsid w:val="006A4D42"/>
    <w:rsid w:val="006B482F"/>
    <w:rsid w:val="006C7F0E"/>
    <w:rsid w:val="006E3DB3"/>
    <w:rsid w:val="006E627A"/>
    <w:rsid w:val="006F553C"/>
    <w:rsid w:val="00704EEE"/>
    <w:rsid w:val="007119C0"/>
    <w:rsid w:val="0071754A"/>
    <w:rsid w:val="00733061"/>
    <w:rsid w:val="0074537E"/>
    <w:rsid w:val="00746EB5"/>
    <w:rsid w:val="00771256"/>
    <w:rsid w:val="00776334"/>
    <w:rsid w:val="00780E24"/>
    <w:rsid w:val="00787A90"/>
    <w:rsid w:val="007A25FA"/>
    <w:rsid w:val="007B3216"/>
    <w:rsid w:val="007F5CD8"/>
    <w:rsid w:val="007F67CC"/>
    <w:rsid w:val="00804F65"/>
    <w:rsid w:val="008450BD"/>
    <w:rsid w:val="00853E6F"/>
    <w:rsid w:val="00857607"/>
    <w:rsid w:val="00870FEB"/>
    <w:rsid w:val="008872C6"/>
    <w:rsid w:val="00893A92"/>
    <w:rsid w:val="00895149"/>
    <w:rsid w:val="008A0FDD"/>
    <w:rsid w:val="008E0AA6"/>
    <w:rsid w:val="008E2BBD"/>
    <w:rsid w:val="009225D0"/>
    <w:rsid w:val="009225FE"/>
    <w:rsid w:val="009276C3"/>
    <w:rsid w:val="009449B4"/>
    <w:rsid w:val="00951FAE"/>
    <w:rsid w:val="00955C64"/>
    <w:rsid w:val="00967AD8"/>
    <w:rsid w:val="00967E5C"/>
    <w:rsid w:val="00980E85"/>
    <w:rsid w:val="00982041"/>
    <w:rsid w:val="00992C20"/>
    <w:rsid w:val="009B316D"/>
    <w:rsid w:val="009B56E3"/>
    <w:rsid w:val="009C2E25"/>
    <w:rsid w:val="009D231C"/>
    <w:rsid w:val="009D3F71"/>
    <w:rsid w:val="009E741C"/>
    <w:rsid w:val="009E7CDD"/>
    <w:rsid w:val="009F4293"/>
    <w:rsid w:val="009F61EB"/>
    <w:rsid w:val="00A02E6E"/>
    <w:rsid w:val="00A05B62"/>
    <w:rsid w:val="00A20C30"/>
    <w:rsid w:val="00A5798F"/>
    <w:rsid w:val="00A64F73"/>
    <w:rsid w:val="00A669E2"/>
    <w:rsid w:val="00A92E08"/>
    <w:rsid w:val="00AA101B"/>
    <w:rsid w:val="00AB4824"/>
    <w:rsid w:val="00AC4444"/>
    <w:rsid w:val="00AC66CC"/>
    <w:rsid w:val="00AD3232"/>
    <w:rsid w:val="00AD3C1E"/>
    <w:rsid w:val="00AE5463"/>
    <w:rsid w:val="00AF4A09"/>
    <w:rsid w:val="00B02F55"/>
    <w:rsid w:val="00B07F1A"/>
    <w:rsid w:val="00B16D94"/>
    <w:rsid w:val="00B171A5"/>
    <w:rsid w:val="00B300A6"/>
    <w:rsid w:val="00B347A5"/>
    <w:rsid w:val="00B3500A"/>
    <w:rsid w:val="00B566C4"/>
    <w:rsid w:val="00B766AF"/>
    <w:rsid w:val="00B85566"/>
    <w:rsid w:val="00B936BD"/>
    <w:rsid w:val="00BA0493"/>
    <w:rsid w:val="00BA1CC8"/>
    <w:rsid w:val="00BB7677"/>
    <w:rsid w:val="00BE3153"/>
    <w:rsid w:val="00C31B42"/>
    <w:rsid w:val="00C43775"/>
    <w:rsid w:val="00C53746"/>
    <w:rsid w:val="00C57AB0"/>
    <w:rsid w:val="00C608B4"/>
    <w:rsid w:val="00C72A1B"/>
    <w:rsid w:val="00C9263A"/>
    <w:rsid w:val="00C928EB"/>
    <w:rsid w:val="00CB1097"/>
    <w:rsid w:val="00CD438B"/>
    <w:rsid w:val="00CF0708"/>
    <w:rsid w:val="00D137C2"/>
    <w:rsid w:val="00D21FA4"/>
    <w:rsid w:val="00D2458C"/>
    <w:rsid w:val="00D30EB7"/>
    <w:rsid w:val="00D31817"/>
    <w:rsid w:val="00D47A16"/>
    <w:rsid w:val="00D517FA"/>
    <w:rsid w:val="00D53546"/>
    <w:rsid w:val="00D749F4"/>
    <w:rsid w:val="00D931C0"/>
    <w:rsid w:val="00D94717"/>
    <w:rsid w:val="00D94744"/>
    <w:rsid w:val="00DA141F"/>
    <w:rsid w:val="00DD299E"/>
    <w:rsid w:val="00DD2AF4"/>
    <w:rsid w:val="00DE1083"/>
    <w:rsid w:val="00DF1487"/>
    <w:rsid w:val="00E126EC"/>
    <w:rsid w:val="00E364D2"/>
    <w:rsid w:val="00E5096A"/>
    <w:rsid w:val="00E55527"/>
    <w:rsid w:val="00E70646"/>
    <w:rsid w:val="00EB2CDB"/>
    <w:rsid w:val="00EB66A6"/>
    <w:rsid w:val="00F009A6"/>
    <w:rsid w:val="00F04090"/>
    <w:rsid w:val="00F13735"/>
    <w:rsid w:val="00F2656E"/>
    <w:rsid w:val="00F326E6"/>
    <w:rsid w:val="00F337DA"/>
    <w:rsid w:val="00F37774"/>
    <w:rsid w:val="00F50F96"/>
    <w:rsid w:val="00F51F16"/>
    <w:rsid w:val="00F53703"/>
    <w:rsid w:val="00F73AA4"/>
    <w:rsid w:val="00F762F8"/>
    <w:rsid w:val="00F9005E"/>
    <w:rsid w:val="00FA0419"/>
    <w:rsid w:val="00FB08FE"/>
    <w:rsid w:val="00FC331E"/>
    <w:rsid w:val="00FD5DFE"/>
    <w:rsid w:val="00FE2318"/>
    <w:rsid w:val="0124408D"/>
    <w:rsid w:val="05B955A9"/>
    <w:rsid w:val="0C911AFA"/>
    <w:rsid w:val="0D7B1CD9"/>
    <w:rsid w:val="0DE15120"/>
    <w:rsid w:val="0F7909A8"/>
    <w:rsid w:val="0FE93A22"/>
    <w:rsid w:val="105D1B31"/>
    <w:rsid w:val="11EF6D8F"/>
    <w:rsid w:val="1A675CCB"/>
    <w:rsid w:val="1AAB0964"/>
    <w:rsid w:val="1B912C21"/>
    <w:rsid w:val="1B96490E"/>
    <w:rsid w:val="1F2D6B06"/>
    <w:rsid w:val="1F752E36"/>
    <w:rsid w:val="22A52928"/>
    <w:rsid w:val="231E1F2F"/>
    <w:rsid w:val="234A77AC"/>
    <w:rsid w:val="23563407"/>
    <w:rsid w:val="252218B8"/>
    <w:rsid w:val="25EA35B4"/>
    <w:rsid w:val="2B183A7F"/>
    <w:rsid w:val="2B5B3134"/>
    <w:rsid w:val="2BBC5306"/>
    <w:rsid w:val="2BCC3DBD"/>
    <w:rsid w:val="2C8F0B18"/>
    <w:rsid w:val="2CD63E90"/>
    <w:rsid w:val="2FC33A58"/>
    <w:rsid w:val="303A0730"/>
    <w:rsid w:val="316424EB"/>
    <w:rsid w:val="32DD4E3E"/>
    <w:rsid w:val="33194A17"/>
    <w:rsid w:val="34405C23"/>
    <w:rsid w:val="37180CA8"/>
    <w:rsid w:val="37FC2926"/>
    <w:rsid w:val="39124E76"/>
    <w:rsid w:val="3BEC5927"/>
    <w:rsid w:val="3CAC2D9D"/>
    <w:rsid w:val="3D271595"/>
    <w:rsid w:val="3EA75205"/>
    <w:rsid w:val="43935169"/>
    <w:rsid w:val="49C63677"/>
    <w:rsid w:val="4AA44035"/>
    <w:rsid w:val="4D57555B"/>
    <w:rsid w:val="4E5E019D"/>
    <w:rsid w:val="4EA26AF3"/>
    <w:rsid w:val="4FD3305D"/>
    <w:rsid w:val="4FE75AD4"/>
    <w:rsid w:val="550567EF"/>
    <w:rsid w:val="570851BD"/>
    <w:rsid w:val="593C279C"/>
    <w:rsid w:val="594D25DB"/>
    <w:rsid w:val="5A5075A8"/>
    <w:rsid w:val="5C1C2E1C"/>
    <w:rsid w:val="5CFB7599"/>
    <w:rsid w:val="5DFD28D7"/>
    <w:rsid w:val="5E827EC5"/>
    <w:rsid w:val="5EC6574C"/>
    <w:rsid w:val="62C159A8"/>
    <w:rsid w:val="63772297"/>
    <w:rsid w:val="63EE34BC"/>
    <w:rsid w:val="68A43AD7"/>
    <w:rsid w:val="6B6F4899"/>
    <w:rsid w:val="6DE11058"/>
    <w:rsid w:val="7066285B"/>
    <w:rsid w:val="70BA2651"/>
    <w:rsid w:val="73FF4DDC"/>
    <w:rsid w:val="75106CE6"/>
    <w:rsid w:val="75822D8C"/>
    <w:rsid w:val="75AA195E"/>
    <w:rsid w:val="75E328D1"/>
    <w:rsid w:val="773119C9"/>
    <w:rsid w:val="779FC816"/>
    <w:rsid w:val="77DD21EC"/>
    <w:rsid w:val="7A576C53"/>
    <w:rsid w:val="7A6015DB"/>
    <w:rsid w:val="7A8770A4"/>
    <w:rsid w:val="7A914CC9"/>
    <w:rsid w:val="7BA30B19"/>
    <w:rsid w:val="7C704660"/>
    <w:rsid w:val="7C9557AD"/>
    <w:rsid w:val="7CD04917"/>
    <w:rsid w:val="7CE02FBF"/>
    <w:rsid w:val="7DF67F8D"/>
    <w:rsid w:val="7EC87E8B"/>
    <w:rsid w:val="AEF750B5"/>
    <w:rsid w:val="BFED11C8"/>
    <w:rsid w:val="DCB9204D"/>
    <w:rsid w:val="FBF3A729"/>
    <w:rsid w:val="FFB75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2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semiHidden/>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kern w:val="0"/>
      <w:sz w:val="20"/>
      <w:szCs w:val="20"/>
    </w:rPr>
  </w:style>
  <w:style w:type="paragraph" w:styleId="6">
    <w:name w:val="annotation text"/>
    <w:basedOn w:val="1"/>
    <w:link w:val="30"/>
    <w:semiHidden/>
    <w:unhideWhenUsed/>
    <w:qFormat/>
    <w:uiPriority w:val="99"/>
    <w:pPr>
      <w:jc w:val="left"/>
    </w:pPr>
  </w:style>
  <w:style w:type="paragraph" w:styleId="7">
    <w:name w:val="Body Text"/>
    <w:basedOn w:val="1"/>
    <w:link w:val="24"/>
    <w:unhideWhenUsed/>
    <w:qFormat/>
    <w:uiPriority w:val="99"/>
    <w:pPr>
      <w:spacing w:after="120"/>
    </w:pPr>
  </w:style>
  <w:style w:type="paragraph" w:styleId="8">
    <w:name w:val="Plain Text"/>
    <w:basedOn w:val="1"/>
    <w:next w:val="9"/>
    <w:link w:val="35"/>
    <w:qFormat/>
    <w:uiPriority w:val="99"/>
    <w:rPr>
      <w:rFonts w:ascii="宋体" w:hAnsi="Courier New"/>
    </w:rPr>
  </w:style>
  <w:style w:type="paragraph" w:styleId="9">
    <w:name w:val="Date"/>
    <w:basedOn w:val="1"/>
    <w:next w:val="1"/>
    <w:semiHidden/>
    <w:unhideWhenUsed/>
    <w:qFormat/>
    <w:uiPriority w:val="99"/>
    <w:pPr>
      <w:ind w:left="100" w:leftChars="2500"/>
    </w:pPr>
  </w:style>
  <w:style w:type="paragraph" w:styleId="10">
    <w:name w:val="Balloon Text"/>
    <w:basedOn w:val="1"/>
    <w:link w:val="32"/>
    <w:semiHidden/>
    <w:unhideWhenUsed/>
    <w:qFormat/>
    <w:uiPriority w:val="99"/>
    <w:rPr>
      <w:sz w:val="18"/>
      <w:szCs w:val="18"/>
    </w:rPr>
  </w:style>
  <w:style w:type="paragraph" w:styleId="11">
    <w:name w:val="footer"/>
    <w:basedOn w:val="1"/>
    <w:link w:val="29"/>
    <w:unhideWhenUsed/>
    <w:qFormat/>
    <w:uiPriority w:val="99"/>
    <w:pPr>
      <w:tabs>
        <w:tab w:val="center" w:pos="4153"/>
        <w:tab w:val="right" w:pos="8306"/>
      </w:tabs>
      <w:snapToGrid w:val="0"/>
      <w:jc w:val="left"/>
    </w:pPr>
    <w:rPr>
      <w:sz w:val="18"/>
      <w:szCs w:val="18"/>
    </w:rPr>
  </w:style>
  <w:style w:type="paragraph" w:styleId="12">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2"/>
    <w:basedOn w:val="1"/>
    <w:next w:val="1"/>
    <w:autoRedefine/>
    <w:semiHidden/>
    <w:unhideWhenUsed/>
    <w:qFormat/>
    <w:uiPriority w:val="39"/>
    <w:pPr>
      <w:ind w:left="420" w:leftChars="200"/>
    </w:pPr>
  </w:style>
  <w:style w:type="paragraph" w:styleId="14">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15">
    <w:name w:val="annotation subject"/>
    <w:basedOn w:val="6"/>
    <w:next w:val="6"/>
    <w:link w:val="31"/>
    <w:semiHidden/>
    <w:unhideWhenUsed/>
    <w:qFormat/>
    <w:uiPriority w:val="99"/>
    <w:rPr>
      <w:b/>
      <w:bCs/>
    </w:rPr>
  </w:style>
  <w:style w:type="paragraph" w:styleId="16">
    <w:name w:val="Body Text First Indent"/>
    <w:basedOn w:val="7"/>
    <w:link w:val="25"/>
    <w:unhideWhenUsed/>
    <w:qFormat/>
    <w:uiPriority w:val="99"/>
    <w:pPr>
      <w:ind w:firstLine="420" w:firstLineChars="100"/>
    </w:pPr>
  </w:style>
  <w:style w:type="character" w:styleId="19">
    <w:name w:val="Strong"/>
    <w:basedOn w:val="18"/>
    <w:qFormat/>
    <w:uiPriority w:val="22"/>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styleId="21">
    <w:name w:val="HTML Code"/>
    <w:basedOn w:val="18"/>
    <w:semiHidden/>
    <w:unhideWhenUsed/>
    <w:qFormat/>
    <w:uiPriority w:val="99"/>
    <w:rPr>
      <w:rFonts w:ascii="宋体" w:hAnsi="宋体" w:eastAsia="宋体" w:cs="宋体"/>
      <w:sz w:val="24"/>
      <w:szCs w:val="24"/>
    </w:rPr>
  </w:style>
  <w:style w:type="character" w:styleId="22">
    <w:name w:val="annotation reference"/>
    <w:basedOn w:val="18"/>
    <w:unhideWhenUsed/>
    <w:qFormat/>
    <w:uiPriority w:val="99"/>
    <w:rPr>
      <w:sz w:val="21"/>
      <w:szCs w:val="21"/>
    </w:rPr>
  </w:style>
  <w:style w:type="paragraph" w:styleId="23">
    <w:name w:val="List Paragraph"/>
    <w:basedOn w:val="1"/>
    <w:qFormat/>
    <w:uiPriority w:val="34"/>
    <w:pPr>
      <w:ind w:firstLine="420" w:firstLineChars="200"/>
    </w:pPr>
    <w:rPr>
      <w:rFonts w:ascii="Times New Roman" w:hAnsi="Times New Roman" w:eastAsia="宋体" w:cs="Times New Roman"/>
      <w:szCs w:val="24"/>
    </w:rPr>
  </w:style>
  <w:style w:type="character" w:customStyle="1" w:styleId="24">
    <w:name w:val="正文文本 字符"/>
    <w:basedOn w:val="18"/>
    <w:link w:val="7"/>
    <w:qFormat/>
    <w:uiPriority w:val="99"/>
  </w:style>
  <w:style w:type="character" w:customStyle="1" w:styleId="25">
    <w:name w:val="正文首行缩进 字符"/>
    <w:basedOn w:val="24"/>
    <w:link w:val="16"/>
    <w:qFormat/>
    <w:uiPriority w:val="99"/>
  </w:style>
  <w:style w:type="character" w:customStyle="1" w:styleId="26">
    <w:name w:val="标题 1 字符"/>
    <w:basedOn w:val="18"/>
    <w:link w:val="2"/>
    <w:qFormat/>
    <w:uiPriority w:val="9"/>
    <w:rPr>
      <w:b/>
      <w:bCs/>
      <w:kern w:val="44"/>
      <w:sz w:val="44"/>
      <w:szCs w:val="44"/>
    </w:rPr>
  </w:style>
  <w:style w:type="character" w:customStyle="1" w:styleId="27">
    <w:name w:val="标题 2 字符"/>
    <w:basedOn w:val="18"/>
    <w:link w:val="3"/>
    <w:qFormat/>
    <w:uiPriority w:val="9"/>
    <w:rPr>
      <w:rFonts w:asciiTheme="majorHAnsi" w:hAnsiTheme="majorHAnsi" w:eastAsiaTheme="majorEastAsia" w:cstheme="majorBidi"/>
      <w:b/>
      <w:bCs/>
      <w:kern w:val="2"/>
      <w:sz w:val="32"/>
      <w:szCs w:val="32"/>
    </w:rPr>
  </w:style>
  <w:style w:type="character" w:customStyle="1" w:styleId="28">
    <w:name w:val="页眉 字符"/>
    <w:basedOn w:val="18"/>
    <w:link w:val="12"/>
    <w:qFormat/>
    <w:uiPriority w:val="99"/>
    <w:rPr>
      <w:rFonts w:asciiTheme="minorHAnsi" w:hAnsiTheme="minorHAnsi" w:eastAsiaTheme="minorEastAsia" w:cstheme="minorBidi"/>
      <w:kern w:val="2"/>
      <w:sz w:val="18"/>
      <w:szCs w:val="18"/>
    </w:rPr>
  </w:style>
  <w:style w:type="character" w:customStyle="1" w:styleId="29">
    <w:name w:val="页脚 字符"/>
    <w:basedOn w:val="18"/>
    <w:link w:val="11"/>
    <w:qFormat/>
    <w:uiPriority w:val="99"/>
    <w:rPr>
      <w:rFonts w:asciiTheme="minorHAnsi" w:hAnsiTheme="minorHAnsi" w:eastAsiaTheme="minorEastAsia" w:cstheme="minorBidi"/>
      <w:kern w:val="2"/>
      <w:sz w:val="18"/>
      <w:szCs w:val="18"/>
    </w:rPr>
  </w:style>
  <w:style w:type="character" w:customStyle="1" w:styleId="30">
    <w:name w:val="批注文字 字符"/>
    <w:basedOn w:val="18"/>
    <w:link w:val="6"/>
    <w:semiHidden/>
    <w:qFormat/>
    <w:uiPriority w:val="99"/>
    <w:rPr>
      <w:rFonts w:asciiTheme="minorHAnsi" w:hAnsiTheme="minorHAnsi" w:eastAsiaTheme="minorEastAsia" w:cstheme="minorBidi"/>
      <w:kern w:val="2"/>
      <w:sz w:val="21"/>
      <w:szCs w:val="22"/>
    </w:rPr>
  </w:style>
  <w:style w:type="character" w:customStyle="1" w:styleId="31">
    <w:name w:val="批注主题 字符"/>
    <w:basedOn w:val="30"/>
    <w:link w:val="15"/>
    <w:semiHidden/>
    <w:qFormat/>
    <w:uiPriority w:val="99"/>
    <w:rPr>
      <w:rFonts w:asciiTheme="minorHAnsi" w:hAnsiTheme="minorHAnsi" w:eastAsiaTheme="minorEastAsia" w:cstheme="minorBidi"/>
      <w:b/>
      <w:bCs/>
      <w:kern w:val="2"/>
      <w:sz w:val="21"/>
      <w:szCs w:val="22"/>
    </w:rPr>
  </w:style>
  <w:style w:type="character" w:customStyle="1" w:styleId="32">
    <w:name w:val="批注框文本 字符"/>
    <w:basedOn w:val="18"/>
    <w:link w:val="10"/>
    <w:semiHidden/>
    <w:qFormat/>
    <w:uiPriority w:val="99"/>
    <w:rPr>
      <w:rFonts w:asciiTheme="minorHAnsi" w:hAnsiTheme="minorHAnsi" w:eastAsiaTheme="minorEastAsia" w:cstheme="minorBidi"/>
      <w:kern w:val="2"/>
      <w:sz w:val="18"/>
      <w:szCs w:val="18"/>
    </w:rPr>
  </w:style>
  <w:style w:type="paragraph" w:customStyle="1" w:styleId="33">
    <w:name w:val="正文0"/>
    <w:basedOn w:val="1"/>
    <w:qFormat/>
    <w:uiPriority w:val="0"/>
    <w:pPr>
      <w:autoSpaceDE w:val="0"/>
      <w:autoSpaceDN w:val="0"/>
      <w:adjustRightInd w:val="0"/>
      <w:spacing w:before="240" w:after="60" w:line="360" w:lineRule="atLeast"/>
    </w:pPr>
    <w:rPr>
      <w:rFonts w:ascii="Times New Roman" w:hAnsi="Times New Roman" w:eastAsia="宋体" w:cs="Times New Roman"/>
      <w:b/>
      <w:kern w:val="0"/>
      <w:sz w:val="24"/>
      <w:szCs w:val="20"/>
    </w:rPr>
  </w:style>
  <w:style w:type="character" w:customStyle="1" w:styleId="34">
    <w:name w:val="标题 3 字符"/>
    <w:basedOn w:val="18"/>
    <w:link w:val="4"/>
    <w:semiHidden/>
    <w:qFormat/>
    <w:uiPriority w:val="9"/>
    <w:rPr>
      <w:b/>
      <w:bCs/>
      <w:kern w:val="2"/>
      <w:sz w:val="32"/>
      <w:szCs w:val="32"/>
    </w:rPr>
  </w:style>
  <w:style w:type="character" w:customStyle="1" w:styleId="35">
    <w:name w:val="纯文本 字符"/>
    <w:link w:val="8"/>
    <w:qFormat/>
    <w:uiPriority w:val="99"/>
    <w:rPr>
      <w:rFonts w:ascii="宋体" w:hAnsi="Courier New"/>
      <w:kern w:val="2"/>
      <w:sz w:val="21"/>
      <w:szCs w:val="22"/>
    </w:rPr>
  </w:style>
  <w:style w:type="paragraph" w:customStyle="1" w:styleId="36">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7">
    <w:name w:val="font41"/>
    <w:qFormat/>
    <w:uiPriority w:val="0"/>
    <w:rPr>
      <w:rFonts w:hint="eastAsia" w:ascii="宋体" w:hAnsi="宋体" w:eastAsia="宋体" w:cs="宋体"/>
      <w:color w:val="000000"/>
      <w:sz w:val="20"/>
      <w:szCs w:val="20"/>
      <w:u w:val="none"/>
    </w:rPr>
  </w:style>
  <w:style w:type="paragraph" w:customStyle="1" w:styleId="38">
    <w:name w:val="标题2"/>
    <w:basedOn w:val="1"/>
    <w:next w:val="1"/>
    <w:qFormat/>
    <w:uiPriority w:val="0"/>
    <w:pPr>
      <w:outlineLvl w:val="1"/>
    </w:pPr>
    <w:rPr>
      <w:b/>
    </w:rPr>
  </w:style>
  <w:style w:type="paragraph" w:customStyle="1" w:styleId="39">
    <w:name w:val="Table Text"/>
    <w:basedOn w:val="1"/>
    <w:semiHidden/>
    <w:qFormat/>
    <w:uiPriority w:val="0"/>
    <w:rPr>
      <w:rFonts w:ascii="宋体" w:hAnsi="宋体" w:eastAsia="宋体" w:cs="宋体"/>
      <w:sz w:val="19"/>
      <w:szCs w:val="19"/>
      <w:lang w:eastAsia="en-US"/>
    </w:rPr>
  </w:style>
  <w:style w:type="table" w:customStyle="1" w:styleId="40">
    <w:name w:val="Table Normal"/>
    <w:semiHidden/>
    <w:unhideWhenUsed/>
    <w:qFormat/>
    <w:uiPriority w:val="0"/>
    <w:tblPr>
      <w:tblCellMar>
        <w:top w:w="0" w:type="dxa"/>
        <w:left w:w="0" w:type="dxa"/>
        <w:bottom w:w="0" w:type="dxa"/>
        <w:right w:w="0" w:type="dxa"/>
      </w:tblCellMar>
    </w:tblPr>
  </w:style>
  <w:style w:type="paragraph" w:customStyle="1" w:styleId="41">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5085</Words>
  <Characters>5374</Characters>
  <Lines>81</Lines>
  <Paragraphs>23</Paragraphs>
  <TotalTime>20</TotalTime>
  <ScaleCrop>false</ScaleCrop>
  <LinksUpToDate>false</LinksUpToDate>
  <CharactersWithSpaces>5431</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2023-09-09T16:02:00Z</dcterms:created>
  <dc:creator>Windows</dc:creator>
  <cp:lastModifiedBy> RONG</cp:lastModifiedBy>
  <dcterms:modified xsi:type="dcterms:W3CDTF">2026-11-05T02:24:25Z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eyJoZGlkIjoiNzMzNGE1YTZiYTc3N2YxODAwMWEyNTY5NTJhNTQzMDIiLCJ1c2VySWQiOiI0MDk0NTEyMTIifQ==</vt:lpwstr>
  </property>
  <property fmtid="{D5CDD505-2E9C-101B-9397-08002B2CF9AE}" pid="4" name="ICV">
    <vt:lpwstr>8833CEFBFB3D5F485A17DB6A393B7BE8_43</vt:lpwstr>
  </property>
</Properties>
</file>