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20D116">
      <w:pPr>
        <w:spacing w:after="80" w:line="360" w:lineRule="auto"/>
        <w:ind w:firstLine="480"/>
        <w:jc w:val="left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cs="Times New Roman"/>
          <w:b/>
          <w:bCs/>
          <w:sz w:val="32"/>
          <w:szCs w:val="32"/>
        </w:rPr>
        <w:t>附件：电控系统维修维保服务质量评价表</w:t>
      </w:r>
    </w:p>
    <w:tbl>
      <w:tblPr>
        <w:tblStyle w:val="3"/>
        <w:tblW w:w="102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850"/>
        <w:gridCol w:w="6503"/>
        <w:gridCol w:w="960"/>
        <w:gridCol w:w="1080"/>
      </w:tblGrid>
      <w:tr w14:paraId="221D4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7C2965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en-US"/>
              </w:rPr>
              <w:t>考核维度</w:t>
            </w:r>
          </w:p>
        </w:tc>
        <w:tc>
          <w:tcPr>
            <w:tcW w:w="850" w:type="dxa"/>
            <w:vAlign w:val="center"/>
          </w:tcPr>
          <w:p w14:paraId="60D61B4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en-US"/>
              </w:rPr>
              <w:t>权重</w:t>
            </w:r>
          </w:p>
        </w:tc>
        <w:tc>
          <w:tcPr>
            <w:tcW w:w="6503" w:type="dxa"/>
            <w:vAlign w:val="center"/>
          </w:tcPr>
          <w:p w14:paraId="602894D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en-US"/>
              </w:rPr>
              <w:t>评分标准与依据</w:t>
            </w:r>
          </w:p>
        </w:tc>
        <w:tc>
          <w:tcPr>
            <w:tcW w:w="960" w:type="dxa"/>
            <w:vAlign w:val="center"/>
          </w:tcPr>
          <w:p w14:paraId="312D4F9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en-US"/>
              </w:rPr>
              <w:t>评分方式</w:t>
            </w:r>
          </w:p>
        </w:tc>
        <w:tc>
          <w:tcPr>
            <w:tcW w:w="1080" w:type="dxa"/>
            <w:vAlign w:val="center"/>
          </w:tcPr>
          <w:p w14:paraId="27ADA0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en-US"/>
              </w:rPr>
              <w:t>得分</w:t>
            </w:r>
          </w:p>
        </w:tc>
      </w:tr>
      <w:tr w14:paraId="211B3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2E3EFAEF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一、响应与沟通</w:t>
            </w:r>
          </w:p>
          <w:p w14:paraId="452198E2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（25分）</w:t>
            </w:r>
          </w:p>
        </w:tc>
        <w:tc>
          <w:tcPr>
            <w:tcW w:w="850" w:type="dxa"/>
            <w:vAlign w:val="center"/>
          </w:tcPr>
          <w:p w14:paraId="1F8175F1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25</w:t>
            </w:r>
          </w:p>
        </w:tc>
        <w:tc>
          <w:tcPr>
            <w:tcW w:w="6503" w:type="dxa"/>
            <w:vAlign w:val="center"/>
          </w:tcPr>
          <w:p w14:paraId="7C6EC06A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【23–25分】工作日电话畅通，微信群消息30分钟内回复；夜间/周末报修虽未接听，但30分钟内主动回电。</w:t>
            </w:r>
          </w:p>
          <w:p w14:paraId="3EF03B5D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【20–22分】偶有电话漏接，但1小时内回拨；群内回复偶尔延迟，但未影响处置。</w:t>
            </w:r>
          </w:p>
          <w:p w14:paraId="3E33E735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【15–19分】电话多次无人接听且无回拨；报修后半天无反馈，需采购人催促。</w:t>
            </w:r>
          </w:p>
          <w:p w14:paraId="08A24416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【0–14分】故意失联，推诿扯皮，对报修置之不理。</w:t>
            </w:r>
          </w:p>
          <w:p w14:paraId="6072DBF1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扣分依据：通话记录、微信截图。</w:t>
            </w:r>
          </w:p>
        </w:tc>
        <w:tc>
          <w:tcPr>
            <w:tcW w:w="960" w:type="dxa"/>
            <w:vAlign w:val="center"/>
          </w:tcPr>
          <w:p w14:paraId="0D3BBBB9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采购人台账</w:t>
            </w:r>
          </w:p>
        </w:tc>
        <w:tc>
          <w:tcPr>
            <w:tcW w:w="1080" w:type="dxa"/>
            <w:vAlign w:val="center"/>
          </w:tcPr>
          <w:p w14:paraId="51521BD4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4C6C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7F8D58CF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二、应急处置</w:t>
            </w:r>
          </w:p>
          <w:p w14:paraId="4A9E55C6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（25分）</w:t>
            </w:r>
          </w:p>
        </w:tc>
        <w:tc>
          <w:tcPr>
            <w:tcW w:w="850" w:type="dxa"/>
            <w:vAlign w:val="center"/>
          </w:tcPr>
          <w:p w14:paraId="55F5E2DD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25</w:t>
            </w:r>
          </w:p>
        </w:tc>
        <w:tc>
          <w:tcPr>
            <w:tcW w:w="6503" w:type="dxa"/>
            <w:vAlign w:val="center"/>
          </w:tcPr>
          <w:p w14:paraId="1FF27C9C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【23–25分】遇总线短路/停电，2小时内到场，优先隔离故障恢复供电，后查原因；系统瘫痪时主动协助人工抄表。</w:t>
            </w:r>
          </w:p>
          <w:p w14:paraId="1B63C41E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【20–22分】能恢复供电，但耗时较长（4小时内）；配合人工抄表但不够主动。</w:t>
            </w:r>
          </w:p>
          <w:p w14:paraId="54B00C4F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【15–19分】坐等厂家，无应急措施；拒绝配合人工抄表，导致结算延误。</w:t>
            </w:r>
          </w:p>
          <w:p w14:paraId="1A157EAE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【0–14分】因处置不当导致停电超24小时，或引发次生事故。</w:t>
            </w:r>
          </w:p>
          <w:p w14:paraId="0DBAC7AA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【豁免】施工挖断、雷击等不可抗力不扣分，仅考配合度。</w:t>
            </w:r>
          </w:p>
        </w:tc>
        <w:tc>
          <w:tcPr>
            <w:tcW w:w="960" w:type="dxa"/>
            <w:vAlign w:val="center"/>
          </w:tcPr>
          <w:p w14:paraId="349ECDC4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报修/恢复记录</w:t>
            </w:r>
          </w:p>
        </w:tc>
        <w:tc>
          <w:tcPr>
            <w:tcW w:w="1080" w:type="dxa"/>
            <w:vAlign w:val="center"/>
          </w:tcPr>
          <w:p w14:paraId="6010352B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BBF5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1CFDC739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三、运维质量</w:t>
            </w:r>
          </w:p>
          <w:p w14:paraId="0A06AF34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（20分）</w:t>
            </w:r>
          </w:p>
        </w:tc>
        <w:tc>
          <w:tcPr>
            <w:tcW w:w="850" w:type="dxa"/>
            <w:vAlign w:val="center"/>
          </w:tcPr>
          <w:p w14:paraId="6D57C6D3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20</w:t>
            </w:r>
          </w:p>
        </w:tc>
        <w:tc>
          <w:tcPr>
            <w:tcW w:w="6503" w:type="dxa"/>
            <w:vAlign w:val="center"/>
          </w:tcPr>
          <w:p w14:paraId="0672F033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【19–20分】端子紧固无松动，终端电阻（120Ω）完好，屏蔽层接地有效，电井整洁，标签清晰。</w:t>
            </w:r>
          </w:p>
          <w:p w14:paraId="054216FD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【16–18分】个别螺丝松动（当场整改）；标签轻微模糊；电井有少量积灰。</w:t>
            </w:r>
          </w:p>
          <w:p w14:paraId="7CB5FF26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【12–15分】多处螺丝松动存隐患；终端电阻脱落；电井脏乱差。</w:t>
            </w:r>
          </w:p>
          <w:p w14:paraId="7043F9A2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【0–11分】因接线松动致总线瘫痪；屏蔽层悬空引发严重干扰；存在明显安全隐患。</w:t>
            </w:r>
          </w:p>
          <w:p w14:paraId="7A617173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扣分依据：现场抽查照片、巡检报告。</w:t>
            </w:r>
          </w:p>
        </w:tc>
        <w:tc>
          <w:tcPr>
            <w:tcW w:w="960" w:type="dxa"/>
            <w:vAlign w:val="center"/>
          </w:tcPr>
          <w:p w14:paraId="078643CD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现场检查</w:t>
            </w:r>
          </w:p>
        </w:tc>
        <w:tc>
          <w:tcPr>
            <w:tcW w:w="1080" w:type="dxa"/>
            <w:vAlign w:val="center"/>
          </w:tcPr>
          <w:p w14:paraId="7715A661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52CF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2D253CE7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四、数据准确性</w:t>
            </w:r>
          </w:p>
          <w:p w14:paraId="078625E1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（15分）</w:t>
            </w:r>
          </w:p>
        </w:tc>
        <w:tc>
          <w:tcPr>
            <w:tcW w:w="850" w:type="dxa"/>
            <w:vAlign w:val="center"/>
          </w:tcPr>
          <w:p w14:paraId="12A314E8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15</w:t>
            </w:r>
          </w:p>
        </w:tc>
        <w:tc>
          <w:tcPr>
            <w:tcW w:w="6503" w:type="dxa"/>
            <w:vAlign w:val="center"/>
          </w:tcPr>
          <w:p w14:paraId="312CC286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【14–15分】抄表成功率 ≥99%，计量误差 ≤1%，无大面积丢数。</w:t>
            </w:r>
          </w:p>
          <w:p w14:paraId="7BB3BED6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【12–13分】成功率98%–98.9%，数据已补采；误差1%–3%，已校准。</w:t>
            </w:r>
          </w:p>
          <w:p w14:paraId="7F274662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【9–11分】成功率95%–97.9%，部分数据缺失；误差超3%，解释不合理。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【0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–8分】成功率＜95% 影响结算；存在人为篡改数据嫌疑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。【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豁免】偶发短时（＜2 小时）闪断不扣分。</w:t>
            </w:r>
          </w:p>
        </w:tc>
        <w:tc>
          <w:tcPr>
            <w:tcW w:w="960" w:type="dxa"/>
            <w:vAlign w:val="center"/>
          </w:tcPr>
          <w:p w14:paraId="08D9E693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报价人提交抄表/计量记录，采购人核对</w:t>
            </w:r>
          </w:p>
        </w:tc>
        <w:tc>
          <w:tcPr>
            <w:tcW w:w="1080" w:type="dxa"/>
            <w:vAlign w:val="center"/>
          </w:tcPr>
          <w:p w14:paraId="4DEEA957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9550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4DBBACF7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五、配合与服务</w:t>
            </w:r>
          </w:p>
          <w:p w14:paraId="012AC006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（15分）</w:t>
            </w:r>
          </w:p>
        </w:tc>
        <w:tc>
          <w:tcPr>
            <w:tcW w:w="850" w:type="dxa"/>
            <w:vAlign w:val="center"/>
          </w:tcPr>
          <w:p w14:paraId="757F724D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15</w:t>
            </w:r>
          </w:p>
        </w:tc>
        <w:tc>
          <w:tcPr>
            <w:tcW w:w="6503" w:type="dxa"/>
            <w:vAlign w:val="center"/>
          </w:tcPr>
          <w:p w14:paraId="381873BC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【14–15分】财务/宿管查账耐心配合；每月5日前提交运行报告；整改要求7天内落实。</w:t>
            </w:r>
          </w:p>
          <w:p w14:paraId="6F5010F1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【12–13分】查账偶有延迟但配合；报告稍迟但内容详实；整改略有延迟但沟通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到位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</w:t>
            </w:r>
          </w:p>
          <w:p w14:paraId="1040C9CA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【9–11分】查账不耐烦；报告迟交或敷衍；整改逾期7天以上。</w:t>
            </w:r>
          </w:p>
          <w:p w14:paraId="2FE71C97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【0–8分】拒绝配合查账；拒不提交报告；无视整改要求。</w:t>
            </w:r>
          </w:p>
          <w:p w14:paraId="32351ED3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扣分依据：部门反馈、提交记录。</w:t>
            </w:r>
          </w:p>
        </w:tc>
        <w:tc>
          <w:tcPr>
            <w:tcW w:w="960" w:type="dxa"/>
            <w:vAlign w:val="center"/>
          </w:tcPr>
          <w:p w14:paraId="46E31D2D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回访/记录</w:t>
            </w:r>
          </w:p>
        </w:tc>
        <w:tc>
          <w:tcPr>
            <w:tcW w:w="1080" w:type="dxa"/>
            <w:vAlign w:val="center"/>
          </w:tcPr>
          <w:p w14:paraId="69C6A11A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D2F2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0E7D0D24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加分项</w:t>
            </w:r>
          </w:p>
        </w:tc>
        <w:tc>
          <w:tcPr>
            <w:tcW w:w="850" w:type="dxa"/>
            <w:vAlign w:val="center"/>
          </w:tcPr>
          <w:p w14:paraId="0A50C455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/</w:t>
            </w:r>
          </w:p>
        </w:tc>
        <w:tc>
          <w:tcPr>
            <w:tcW w:w="6503" w:type="dxa"/>
            <w:vAlign w:val="center"/>
          </w:tcPr>
          <w:p w14:paraId="3A96D9CD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+3分：主动发现重大隐患（如线路老化）并预警。</w:t>
            </w:r>
          </w:p>
          <w:p w14:paraId="4F693FFC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+2分：提出优化建议（如调整抄表策略）被采纳。</w:t>
            </w:r>
          </w:p>
          <w:p w14:paraId="7E2959F2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+2分：重大活动（考试/迎检）主动驻场保障。</w:t>
            </w:r>
          </w:p>
          <w:p w14:paraId="0D9F996C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（注：总分不超过100分）</w:t>
            </w:r>
          </w:p>
        </w:tc>
        <w:tc>
          <w:tcPr>
            <w:tcW w:w="960" w:type="dxa"/>
            <w:vAlign w:val="center"/>
          </w:tcPr>
          <w:p w14:paraId="67F4832C">
            <w:pPr>
              <w:spacing w:after="20" w:line="30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事迹认定</w:t>
            </w:r>
          </w:p>
        </w:tc>
        <w:tc>
          <w:tcPr>
            <w:tcW w:w="1080" w:type="dxa"/>
            <w:vAlign w:val="center"/>
          </w:tcPr>
          <w:p w14:paraId="179778A4">
            <w:pPr>
              <w:spacing w:after="20" w:line="30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3CED2203">
      <w:pPr>
        <w:rPr>
          <w:lang w:bidi="en-US"/>
        </w:rPr>
      </w:pPr>
    </w:p>
    <w:p w14:paraId="257EFEC5"/>
    <w:sectPr>
      <w:pgSz w:w="11906" w:h="16838"/>
      <w:pgMar w:top="1077" w:right="1043" w:bottom="1077" w:left="102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83534A"/>
    <w:rsid w:val="2083534A"/>
    <w:rsid w:val="4BE6493F"/>
    <w:rsid w:val="665B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993</Words>
  <Characters>1065</Characters>
  <Lines>0</Lines>
  <Paragraphs>0</Paragraphs>
  <TotalTime>0</TotalTime>
  <ScaleCrop>false</ScaleCrop>
  <LinksUpToDate>false</LinksUpToDate>
  <CharactersWithSpaces>1069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2026-11-04T03:45:00Z</dcterms:created>
  <dc:creator>灵火</dc:creator>
  <cp:lastModifiedBy>灵火</cp:lastModifiedBy>
  <dcterms:modified xsi:type="dcterms:W3CDTF">2026-11-04T03:52:38Z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93412251110544E6826647655BE691EE_11</vt:lpwstr>
  </property>
  <property fmtid="{D5CDD505-2E9C-101B-9397-08002B2CF9AE}" pid="4" name="KSOTemplateDocerSaveRecord">
    <vt:lpwstr>eyJoZGlkIjoiYzZjNzFiMTM2NGJkMjRkZjllZjRhNjMyMjRmNGIyZGYiLCJ1c2VySWQiOiIzOTc2NzMwMzMifQ==</vt:lpwstr>
  </property>
</Properties>
</file>