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558F463">
      <w:pPr>
        <w:spacing w:line="520" w:lineRule="exact"/>
        <w:jc w:val="center"/>
        <w:rPr>
          <w:rFonts w:ascii="Arial" w:hAnsi="Arial" w:cs="Arial"/>
          <w:b/>
          <w:kern w:val="0"/>
          <w:sz w:val="32"/>
          <w:szCs w:val="36"/>
          <w:lang w:bidi="en-US"/>
        </w:rPr>
      </w:pPr>
      <w:r>
        <w:rPr>
          <w:rFonts w:ascii="Arial" w:hAnsi="Arial" w:cs="Arial"/>
          <w:b/>
          <w:kern w:val="0"/>
          <w:sz w:val="32"/>
          <w:szCs w:val="36"/>
          <w:lang w:bidi="en-US"/>
        </w:rPr>
        <w:t>柳州职业技术</w:t>
      </w:r>
      <w:r>
        <w:rPr>
          <w:rFonts w:hint="eastAsia" w:ascii="Arial" w:hAnsi="Arial" w:cs="Arial"/>
          <w:b/>
          <w:kern w:val="0"/>
          <w:sz w:val="32"/>
          <w:szCs w:val="36"/>
          <w:lang w:bidi="en-US"/>
        </w:rPr>
        <w:t>大学</w:t>
      </w:r>
    </w:p>
    <w:p w14:paraId="23AC41B4">
      <w:pPr>
        <w:spacing w:line="520" w:lineRule="exact"/>
        <w:jc w:val="center"/>
        <w:rPr>
          <w:rFonts w:hint="eastAsia" w:ascii="Arial" w:hAnsi="Arial" w:cs="Arial" w:eastAsiaTheme="minorEastAsia"/>
          <w:b/>
          <w:sz w:val="32"/>
          <w:szCs w:val="36"/>
          <w:lang w:eastAsia="zh-CN"/>
        </w:rPr>
      </w:pPr>
      <w:r>
        <w:rPr>
          <w:rFonts w:hint="eastAsia" w:ascii="Arial" w:hAnsi="Arial" w:cs="Arial"/>
          <w:b/>
          <w:sz w:val="32"/>
          <w:szCs w:val="36"/>
        </w:rPr>
        <w:t>2026</w:t>
      </w:r>
      <w:r>
        <w:rPr>
          <w:rFonts w:hint="eastAsia" w:ascii="Arial" w:hAnsi="Arial" w:cs="Arial"/>
          <w:b/>
          <w:sz w:val="32"/>
          <w:szCs w:val="36"/>
          <w:lang w:eastAsia="zh-CN"/>
        </w:rPr>
        <w:t>—</w:t>
      </w:r>
      <w:r>
        <w:rPr>
          <w:rFonts w:hint="eastAsia" w:ascii="Arial" w:hAnsi="Arial" w:cs="Arial"/>
          <w:b/>
          <w:sz w:val="32"/>
          <w:szCs w:val="36"/>
        </w:rPr>
        <w:t>2027年</w:t>
      </w:r>
      <w:r>
        <w:rPr>
          <w:rFonts w:hint="eastAsia" w:ascii="Arial" w:hAnsi="Arial" w:cs="Arial"/>
          <w:b/>
          <w:sz w:val="32"/>
          <w:szCs w:val="36"/>
          <w:lang w:val="en-US" w:eastAsia="zh-CN"/>
        </w:rPr>
        <w:t>学校</w:t>
      </w:r>
      <w:r>
        <w:rPr>
          <w:rFonts w:hint="eastAsia" w:ascii="Arial" w:hAnsi="Arial" w:cs="Arial"/>
          <w:b/>
          <w:sz w:val="32"/>
          <w:szCs w:val="36"/>
        </w:rPr>
        <w:t>电控系统维保服务</w:t>
      </w:r>
      <w:r>
        <w:rPr>
          <w:rFonts w:hint="eastAsia" w:ascii="Arial" w:hAnsi="Arial" w:cs="Arial"/>
          <w:b/>
          <w:sz w:val="32"/>
          <w:szCs w:val="36"/>
          <w:lang w:val="en-US" w:eastAsia="zh-CN"/>
        </w:rPr>
        <w:t>采购</w:t>
      </w:r>
      <w:r>
        <w:rPr>
          <w:rFonts w:hint="eastAsia" w:ascii="Arial" w:hAnsi="Arial" w:cs="Arial"/>
          <w:b/>
          <w:sz w:val="32"/>
          <w:szCs w:val="36"/>
        </w:rPr>
        <w:t>项目</w:t>
      </w:r>
      <w:r>
        <w:rPr>
          <w:rFonts w:ascii="Arial" w:hAnsi="Arial" w:cs="Arial"/>
          <w:b/>
          <w:sz w:val="32"/>
          <w:szCs w:val="36"/>
        </w:rPr>
        <w:t>询价采购公告</w:t>
      </w:r>
    </w:p>
    <w:p w14:paraId="163FA81C">
      <w:pPr>
        <w:widowControl/>
        <w:spacing w:after="200" w:line="276" w:lineRule="auto"/>
        <w:ind w:firstLine="1100" w:firstLineChars="500"/>
        <w:jc w:val="left"/>
        <w:rPr>
          <w:rFonts w:ascii="Arial" w:hAnsi="Arial" w:cs="Arial"/>
          <w:kern w:val="0"/>
          <w:sz w:val="22"/>
          <w:szCs w:val="24"/>
          <w:lang w:bidi="en-US"/>
        </w:rPr>
      </w:pPr>
      <w:r>
        <w:rPr>
          <w:rFonts w:ascii="Arial" w:hAnsi="Arial" w:cs="Arial"/>
          <w:kern w:val="0"/>
          <w:sz w:val="22"/>
          <w:szCs w:val="24"/>
          <w:lang w:bidi="en-US"/>
        </w:rPr>
        <w:t>采购编号：</w:t>
      </w:r>
      <w:r>
        <w:rPr>
          <w:rFonts w:hint="eastAsia" w:ascii="Arial" w:hAnsi="Arial" w:cs="Arial"/>
          <w:b/>
          <w:kern w:val="0"/>
          <w:sz w:val="22"/>
          <w:szCs w:val="24"/>
          <w:lang w:val="en-US" w:eastAsia="zh-CN" w:bidi="en-US"/>
        </w:rPr>
        <w:t>LZPU</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w:t>
      </w:r>
      <w:r>
        <w:rPr>
          <w:rFonts w:hint="eastAsia" w:ascii="Arial" w:hAnsi="Arial" w:cs="Arial"/>
          <w:b/>
          <w:kern w:val="0"/>
          <w:sz w:val="22"/>
          <w:szCs w:val="24"/>
          <w:lang w:val="en-US" w:eastAsia="zh-CN" w:bidi="en-US"/>
        </w:rPr>
        <w:t>36</w:t>
      </w:r>
      <w:r>
        <w:rPr>
          <w:rFonts w:ascii="Arial" w:hAnsi="Arial" w:cs="Arial"/>
          <w:kern w:val="0"/>
          <w:sz w:val="22"/>
          <w:szCs w:val="24"/>
          <w:lang w:bidi="en-US"/>
        </w:rPr>
        <w:t xml:space="preserve">                              发布日期：</w:t>
      </w:r>
      <w:r>
        <w:rPr>
          <w:rFonts w:hint="eastAsia" w:ascii="Arial" w:hAnsi="Arial" w:cs="Arial"/>
          <w:b/>
          <w:kern w:val="0"/>
          <w:sz w:val="22"/>
          <w:szCs w:val="24"/>
          <w:lang w:bidi="en-US"/>
        </w:rPr>
        <w:t>202</w:t>
      </w:r>
      <w:r>
        <w:rPr>
          <w:rFonts w:hint="eastAsia" w:ascii="Arial" w:hAnsi="Arial" w:cs="Arial"/>
          <w:b/>
          <w:kern w:val="0"/>
          <w:sz w:val="22"/>
          <w:szCs w:val="24"/>
          <w:lang w:val="en-US" w:eastAsia="zh-CN" w:bidi="en-US"/>
        </w:rPr>
        <w:t>6</w:t>
      </w:r>
      <w:r>
        <w:rPr>
          <w:rFonts w:hint="eastAsia" w:ascii="Arial" w:hAnsi="Arial" w:cs="Arial"/>
          <w:b/>
          <w:kern w:val="0"/>
          <w:sz w:val="22"/>
          <w:szCs w:val="24"/>
          <w:lang w:bidi="en-US"/>
        </w:rPr>
        <w:t>年</w:t>
      </w:r>
      <w:r>
        <w:rPr>
          <w:rFonts w:hint="eastAsia" w:ascii="Arial" w:hAnsi="Arial" w:cs="Arial"/>
          <w:b/>
          <w:kern w:val="0"/>
          <w:sz w:val="22"/>
          <w:szCs w:val="24"/>
          <w:lang w:val="en-US" w:eastAsia="zh-CN" w:bidi="en-US"/>
        </w:rPr>
        <w:t>11</w:t>
      </w:r>
      <w:r>
        <w:rPr>
          <w:rFonts w:hint="eastAsia" w:ascii="Arial" w:hAnsi="Arial" w:cs="Arial"/>
          <w:b/>
          <w:kern w:val="0"/>
          <w:sz w:val="22"/>
          <w:szCs w:val="24"/>
          <w:lang w:bidi="en-US"/>
        </w:rPr>
        <w:t>月</w:t>
      </w:r>
      <w:r>
        <w:rPr>
          <w:rFonts w:hint="eastAsia" w:ascii="Arial" w:hAnsi="Arial" w:cs="Arial"/>
          <w:b/>
          <w:kern w:val="0"/>
          <w:sz w:val="22"/>
          <w:szCs w:val="24"/>
          <w:lang w:val="en-US" w:eastAsia="zh-CN" w:bidi="en-US"/>
        </w:rPr>
        <w:t>4</w:t>
      </w:r>
      <w:r>
        <w:rPr>
          <w:rFonts w:hint="eastAsia" w:ascii="Arial" w:hAnsi="Arial" w:cs="Arial"/>
          <w:b/>
          <w:kern w:val="0"/>
          <w:sz w:val="22"/>
          <w:szCs w:val="24"/>
          <w:lang w:bidi="en-US"/>
        </w:rPr>
        <w:t>日</w:t>
      </w:r>
    </w:p>
    <w:p w14:paraId="1EC597D6">
      <w:pPr>
        <w:numPr>
          <w:ilvl w:val="0"/>
          <w:numId w:val="1"/>
        </w:numPr>
        <w:spacing w:line="520" w:lineRule="exact"/>
        <w:rPr>
          <w:rFonts w:hint="eastAsia" w:ascii="宋体" w:hAnsi="宋体" w:eastAsia="宋体" w:cs="宋体"/>
          <w:bCs/>
          <w:kern w:val="0"/>
          <w:sz w:val="24"/>
          <w:szCs w:val="24"/>
          <w:lang w:bidi="en-US"/>
        </w:rPr>
      </w:pPr>
      <w:r>
        <w:rPr>
          <w:rFonts w:hint="eastAsia" w:ascii="宋体" w:hAnsi="宋体" w:eastAsia="宋体" w:cs="宋体"/>
          <w:bCs/>
          <w:kern w:val="0"/>
          <w:sz w:val="24"/>
          <w:szCs w:val="24"/>
          <w:lang w:bidi="en-US"/>
        </w:rPr>
        <w:t>项目名称：2026—2027年</w:t>
      </w:r>
      <w:r>
        <w:rPr>
          <w:rFonts w:hint="eastAsia" w:ascii="宋体" w:hAnsi="宋体" w:eastAsia="宋体" w:cs="宋体"/>
          <w:bCs/>
          <w:kern w:val="0"/>
          <w:sz w:val="24"/>
          <w:szCs w:val="24"/>
          <w:lang w:val="en-US" w:eastAsia="zh-CN" w:bidi="en-US"/>
        </w:rPr>
        <w:t>学校</w:t>
      </w:r>
      <w:r>
        <w:rPr>
          <w:rFonts w:hint="eastAsia" w:ascii="宋体" w:hAnsi="宋体" w:eastAsia="宋体" w:cs="宋体"/>
          <w:bCs/>
          <w:kern w:val="0"/>
          <w:sz w:val="24"/>
          <w:szCs w:val="24"/>
          <w:lang w:bidi="en-US"/>
        </w:rPr>
        <w:t>电控系统维保服务</w:t>
      </w:r>
    </w:p>
    <w:p w14:paraId="4F39A208">
      <w:pPr>
        <w:numPr>
          <w:ilvl w:val="0"/>
          <w:numId w:val="1"/>
        </w:numPr>
        <w:spacing w:line="520" w:lineRule="exact"/>
        <w:rPr>
          <w:rFonts w:hint="eastAsia" w:ascii="宋体" w:hAnsi="宋体" w:eastAsia="宋体" w:cs="宋体"/>
          <w:bCs/>
          <w:kern w:val="0"/>
          <w:sz w:val="24"/>
          <w:szCs w:val="24"/>
          <w:lang w:bidi="en-US"/>
        </w:rPr>
      </w:pPr>
      <w:r>
        <w:rPr>
          <w:rFonts w:hint="eastAsia" w:ascii="宋体" w:hAnsi="宋体" w:eastAsia="宋体" w:cs="宋体"/>
          <w:bCs/>
          <w:kern w:val="0"/>
          <w:sz w:val="24"/>
          <w:szCs w:val="24"/>
          <w:lang w:bidi="en-US"/>
        </w:rPr>
        <w:t>询价采购项目预算金额：（人民币大写）</w:t>
      </w:r>
      <w:r>
        <w:rPr>
          <w:rFonts w:hint="eastAsia" w:ascii="宋体" w:hAnsi="宋体" w:eastAsia="宋体" w:cs="宋体"/>
          <w:bCs/>
          <w:kern w:val="0"/>
          <w:sz w:val="24"/>
          <w:szCs w:val="24"/>
          <w:lang w:val="en-US" w:eastAsia="zh-CN" w:bidi="en-US"/>
        </w:rPr>
        <w:t>壹拾壹万贰仟肆佰</w:t>
      </w:r>
      <w:r>
        <w:rPr>
          <w:rFonts w:hint="eastAsia" w:ascii="宋体" w:hAnsi="宋体" w:eastAsia="宋体" w:cs="宋体"/>
          <w:bCs/>
          <w:kern w:val="0"/>
          <w:sz w:val="24"/>
          <w:szCs w:val="24"/>
          <w:lang w:bidi="en-US"/>
        </w:rPr>
        <w:t>元整（¥</w:t>
      </w:r>
      <w:r>
        <w:rPr>
          <w:rFonts w:hint="eastAsia" w:ascii="宋体" w:hAnsi="宋体" w:eastAsia="宋体" w:cs="宋体"/>
          <w:bCs/>
          <w:kern w:val="0"/>
          <w:sz w:val="24"/>
          <w:szCs w:val="24"/>
          <w:lang w:val="en-US" w:eastAsia="zh-CN" w:bidi="en-US"/>
        </w:rPr>
        <w:t>112400</w:t>
      </w:r>
      <w:r>
        <w:rPr>
          <w:rFonts w:hint="eastAsia" w:ascii="宋体" w:hAnsi="宋体" w:eastAsia="宋体" w:cs="宋体"/>
          <w:bCs/>
          <w:kern w:val="0"/>
          <w:sz w:val="24"/>
          <w:szCs w:val="24"/>
          <w:lang w:bidi="en-US"/>
        </w:rPr>
        <w:t>.00）</w:t>
      </w:r>
    </w:p>
    <w:p w14:paraId="7B24866B">
      <w:pPr>
        <w:numPr>
          <w:ilvl w:val="0"/>
          <w:numId w:val="1"/>
        </w:numPr>
        <w:spacing w:line="520" w:lineRule="exact"/>
        <w:rPr>
          <w:rFonts w:hint="eastAsia" w:ascii="宋体" w:hAnsi="宋体" w:eastAsia="宋体" w:cs="宋体"/>
          <w:bCs/>
          <w:kern w:val="0"/>
          <w:sz w:val="24"/>
          <w:szCs w:val="24"/>
          <w:lang w:bidi="en-US"/>
        </w:rPr>
      </w:pPr>
      <w:r>
        <w:rPr>
          <w:rFonts w:hint="eastAsia" w:ascii="宋体" w:hAnsi="宋体" w:eastAsia="宋体" w:cs="宋体"/>
          <w:bCs/>
          <w:kern w:val="0"/>
          <w:sz w:val="24"/>
          <w:szCs w:val="24"/>
          <w:lang w:bidi="en-US"/>
        </w:rPr>
        <w:t>评标方法：最低评标价法</w:t>
      </w:r>
    </w:p>
    <w:p w14:paraId="48EAFC50">
      <w:pPr>
        <w:numPr>
          <w:ilvl w:val="0"/>
          <w:numId w:val="1"/>
        </w:numPr>
        <w:rPr>
          <w:rFonts w:hint="eastAsia" w:ascii="宋体" w:hAnsi="宋体" w:eastAsia="宋体" w:cs="宋体"/>
          <w:bCs/>
          <w:kern w:val="0"/>
          <w:sz w:val="24"/>
          <w:szCs w:val="24"/>
          <w:lang w:bidi="en-US"/>
        </w:rPr>
      </w:pPr>
      <w:r>
        <w:rPr>
          <w:rFonts w:hint="eastAsia" w:ascii="宋体" w:hAnsi="宋体" w:eastAsia="宋体" w:cs="宋体"/>
          <w:bCs/>
          <w:kern w:val="0"/>
          <w:sz w:val="24"/>
          <w:szCs w:val="24"/>
          <w:lang w:bidi="en-US"/>
        </w:rPr>
        <w:t>采购要求</w:t>
      </w:r>
    </w:p>
    <w:p w14:paraId="75D6DB85">
      <w:pPr>
        <w:pStyle w:val="7"/>
        <w:rPr>
          <w:b/>
          <w:color w:val="FF0000"/>
        </w:rPr>
      </w:pPr>
      <w:r>
        <w:rPr>
          <w:rFonts w:hint="eastAsia"/>
          <w:b/>
          <w:color w:val="FF0000"/>
          <w:highlight w:val="yellow"/>
        </w:rPr>
        <w:t>说明：</w:t>
      </w:r>
      <w:r>
        <w:rPr>
          <w:rFonts w:hint="eastAsia"/>
        </w:rPr>
        <w:t>项目所有参数及商务要求为实质性响应内容，评审时</w:t>
      </w:r>
      <w:r>
        <w:rPr>
          <w:rFonts w:hint="eastAsia"/>
          <w:lang w:eastAsia="zh-CN"/>
        </w:rPr>
        <w:t>报价人</w:t>
      </w:r>
      <w:r>
        <w:rPr>
          <w:rFonts w:hint="eastAsia"/>
        </w:rPr>
        <w:t>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7"/>
        <w:tblW w:w="10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6"/>
        <w:gridCol w:w="851"/>
        <w:gridCol w:w="7759"/>
        <w:gridCol w:w="375"/>
        <w:gridCol w:w="465"/>
      </w:tblGrid>
      <w:tr w14:paraId="4124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16" w:type="dxa"/>
            <w:vAlign w:val="center"/>
          </w:tcPr>
          <w:p w14:paraId="23B0FEA0">
            <w:pPr>
              <w:widowControl/>
              <w:jc w:val="center"/>
              <w:rPr>
                <w:rFonts w:ascii="Arial" w:hAnsi="Arial" w:cs="Arial"/>
                <w:color w:val="000000"/>
                <w:kern w:val="0"/>
                <w:szCs w:val="21"/>
              </w:rPr>
            </w:pPr>
            <w:r>
              <w:rPr>
                <w:rFonts w:ascii="Arial" w:hAnsi="Arial" w:cs="Arial"/>
                <w:color w:val="000000"/>
                <w:kern w:val="0"/>
                <w:szCs w:val="21"/>
              </w:rPr>
              <w:t>序号</w:t>
            </w:r>
          </w:p>
        </w:tc>
        <w:tc>
          <w:tcPr>
            <w:tcW w:w="851" w:type="dxa"/>
            <w:shd w:val="clear" w:color="auto" w:fill="auto"/>
            <w:noWrap/>
            <w:vAlign w:val="center"/>
          </w:tcPr>
          <w:p w14:paraId="12B76B21">
            <w:pPr>
              <w:widowControl/>
              <w:jc w:val="center"/>
              <w:rPr>
                <w:rFonts w:ascii="Arial" w:hAnsi="Arial" w:cs="Arial"/>
                <w:color w:val="000000"/>
                <w:kern w:val="0"/>
                <w:szCs w:val="21"/>
              </w:rPr>
            </w:pPr>
            <w:r>
              <w:rPr>
                <w:rFonts w:ascii="Arial" w:hAnsi="Arial" w:cs="Arial"/>
                <w:color w:val="000000"/>
                <w:kern w:val="0"/>
                <w:szCs w:val="21"/>
              </w:rPr>
              <w:t>名称</w:t>
            </w:r>
          </w:p>
        </w:tc>
        <w:tc>
          <w:tcPr>
            <w:tcW w:w="7759" w:type="dxa"/>
            <w:shd w:val="clear" w:color="auto" w:fill="auto"/>
            <w:noWrap/>
            <w:vAlign w:val="center"/>
          </w:tcPr>
          <w:p w14:paraId="288B6895">
            <w:pPr>
              <w:spacing w:line="360" w:lineRule="auto"/>
              <w:jc w:val="center"/>
              <w:rPr>
                <w:rFonts w:hint="eastAsia"/>
              </w:rPr>
            </w:pPr>
            <w:r>
              <w:rPr>
                <w:rFonts w:hint="eastAsia"/>
              </w:rPr>
              <w:t>参数要求</w:t>
            </w:r>
          </w:p>
        </w:tc>
        <w:tc>
          <w:tcPr>
            <w:tcW w:w="375" w:type="dxa"/>
            <w:shd w:val="clear" w:color="auto" w:fill="auto"/>
            <w:noWrap/>
            <w:vAlign w:val="center"/>
          </w:tcPr>
          <w:p w14:paraId="482FA216">
            <w:pPr>
              <w:widowControl/>
              <w:jc w:val="center"/>
              <w:rPr>
                <w:rFonts w:ascii="Arial" w:hAnsi="Arial" w:cs="Arial"/>
                <w:color w:val="000000"/>
                <w:kern w:val="0"/>
                <w:szCs w:val="21"/>
              </w:rPr>
            </w:pPr>
            <w:r>
              <w:rPr>
                <w:rFonts w:hint="eastAsia" w:ascii="Arial" w:hAnsi="Arial" w:cs="Arial"/>
                <w:color w:val="000000"/>
                <w:kern w:val="0"/>
                <w:szCs w:val="21"/>
              </w:rPr>
              <w:t>数量</w:t>
            </w:r>
          </w:p>
        </w:tc>
        <w:tc>
          <w:tcPr>
            <w:tcW w:w="465" w:type="dxa"/>
            <w:shd w:val="clear" w:color="auto" w:fill="auto"/>
            <w:noWrap/>
            <w:vAlign w:val="center"/>
          </w:tcPr>
          <w:p w14:paraId="4D5D442D">
            <w:pPr>
              <w:widowControl/>
              <w:jc w:val="center"/>
              <w:rPr>
                <w:rFonts w:ascii="Arial" w:hAnsi="Arial" w:cs="Arial"/>
                <w:color w:val="000000"/>
                <w:kern w:val="0"/>
                <w:szCs w:val="21"/>
              </w:rPr>
            </w:pPr>
            <w:r>
              <w:rPr>
                <w:rFonts w:hint="eastAsia" w:ascii="Arial" w:hAnsi="Arial" w:cs="Arial"/>
                <w:color w:val="000000"/>
                <w:kern w:val="0"/>
                <w:szCs w:val="21"/>
              </w:rPr>
              <w:t>单位</w:t>
            </w:r>
          </w:p>
        </w:tc>
      </w:tr>
      <w:tr w14:paraId="09689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616" w:type="dxa"/>
          </w:tcPr>
          <w:p w14:paraId="541DEB79">
            <w:pPr>
              <w:widowControl/>
              <w:rPr>
                <w:rFonts w:ascii="Arial" w:hAnsi="Arial" w:cs="Arial"/>
                <w:kern w:val="0"/>
                <w:szCs w:val="21"/>
              </w:rPr>
            </w:pPr>
            <w:r>
              <w:rPr>
                <w:rFonts w:ascii="Arial" w:hAnsi="Arial" w:cs="Arial"/>
                <w:kern w:val="0"/>
                <w:szCs w:val="21"/>
              </w:rPr>
              <w:t>1</w:t>
            </w:r>
          </w:p>
        </w:tc>
        <w:tc>
          <w:tcPr>
            <w:tcW w:w="851" w:type="dxa"/>
            <w:shd w:val="clear" w:color="auto" w:fill="auto"/>
            <w:noWrap/>
          </w:tcPr>
          <w:p w14:paraId="5D490E7F">
            <w:pPr>
              <w:widowControl/>
              <w:rPr>
                <w:rFonts w:ascii="Arial" w:hAnsi="Arial" w:cs="Arial"/>
                <w:kern w:val="0"/>
                <w:szCs w:val="21"/>
              </w:rPr>
            </w:pPr>
            <w:r>
              <w:rPr>
                <w:rFonts w:hint="eastAsia" w:ascii="Arial" w:hAnsi="Arial" w:cs="Arial"/>
                <w:kern w:val="0"/>
                <w:szCs w:val="21"/>
              </w:rPr>
              <w:t>2026年电控系统维保服务</w:t>
            </w:r>
          </w:p>
        </w:tc>
        <w:tc>
          <w:tcPr>
            <w:tcW w:w="7759" w:type="dxa"/>
            <w:shd w:val="clear" w:color="auto" w:fill="auto"/>
            <w:noWrap/>
          </w:tcPr>
          <w:p w14:paraId="25F2A088">
            <w:pPr>
              <w:spacing w:line="360" w:lineRule="auto"/>
              <w:rPr>
                <w:rFonts w:hint="eastAsia"/>
                <w:lang w:eastAsia="zh-CN"/>
              </w:rPr>
            </w:pPr>
            <w:r>
              <w:rPr>
                <w:rFonts w:hint="eastAsia"/>
              </w:rPr>
              <w:t>一、项目</w:t>
            </w:r>
            <w:r>
              <w:rPr>
                <w:rFonts w:hint="eastAsia"/>
                <w:lang w:val="en-US" w:eastAsia="zh-CN"/>
              </w:rPr>
              <w:t>内容</w:t>
            </w:r>
          </w:p>
          <w:p w14:paraId="2FF7DBF0">
            <w:pPr>
              <w:spacing w:line="360" w:lineRule="auto"/>
              <w:rPr>
                <w:rFonts w:hint="eastAsia"/>
              </w:rPr>
            </w:pPr>
            <w:r>
              <w:rPr>
                <w:rFonts w:hint="eastAsia"/>
                <w:lang w:val="en-US" w:eastAsia="zh-CN"/>
              </w:rPr>
              <w:t>1.</w:t>
            </w:r>
            <w:r>
              <w:rPr>
                <w:rFonts w:hint="eastAsia"/>
              </w:rPr>
              <w:t>服务范围：柳州职业技术大学</w:t>
            </w:r>
            <w:r>
              <w:rPr>
                <w:rFonts w:hint="eastAsia"/>
                <w:lang w:val="en-US" w:eastAsia="zh-CN"/>
              </w:rPr>
              <w:t>智能</w:t>
            </w:r>
            <w:r>
              <w:rPr>
                <w:rFonts w:hint="eastAsia"/>
              </w:rPr>
              <w:t>电控系统覆盖</w:t>
            </w:r>
            <w:r>
              <w:rPr>
                <w:rFonts w:hint="eastAsia"/>
                <w:lang w:val="en-US" w:eastAsia="zh-CN"/>
              </w:rPr>
              <w:t>全校</w:t>
            </w:r>
            <w:r>
              <w:rPr>
                <w:rFonts w:hint="eastAsia"/>
              </w:rPr>
              <w:t>学生公寓</w:t>
            </w:r>
            <w:r>
              <w:rPr>
                <w:rFonts w:hint="eastAsia"/>
                <w:lang w:val="en-US" w:eastAsia="zh-CN"/>
              </w:rPr>
              <w:t>楼</w:t>
            </w:r>
            <w:r>
              <w:rPr>
                <w:rFonts w:hint="eastAsia"/>
                <w:lang w:eastAsia="zh-CN"/>
              </w:rPr>
              <w:t>，</w:t>
            </w:r>
            <w:r>
              <w:rPr>
                <w:rFonts w:hint="eastAsia"/>
                <w:lang w:val="en-US" w:eastAsia="zh-CN"/>
              </w:rPr>
              <w:t>功能是学生公寓</w:t>
            </w:r>
            <w:r>
              <w:rPr>
                <w:rFonts w:hint="eastAsia"/>
              </w:rPr>
              <w:t>用电控制、计量</w:t>
            </w:r>
            <w:r>
              <w:rPr>
                <w:rFonts w:hint="eastAsia"/>
                <w:lang w:eastAsia="zh-CN"/>
              </w:rPr>
              <w:t>、</w:t>
            </w:r>
            <w:r>
              <w:rPr>
                <w:rFonts w:hint="eastAsia"/>
                <w:lang w:val="en-US" w:eastAsia="zh-CN"/>
              </w:rPr>
              <w:t>计费</w:t>
            </w:r>
            <w:r>
              <w:rPr>
                <w:rFonts w:hint="eastAsia"/>
              </w:rPr>
              <w:t>与远传管理</w:t>
            </w:r>
            <w:r>
              <w:rPr>
                <w:rFonts w:hint="eastAsia"/>
                <w:lang w:val="en-US" w:eastAsia="zh-CN"/>
              </w:rPr>
              <w:t>等，</w:t>
            </w:r>
            <w:r>
              <w:rPr>
                <w:rFonts w:hint="eastAsia"/>
              </w:rPr>
              <w:t>是校园运行与师生生活的重要基础设施。主要</w:t>
            </w:r>
            <w:r>
              <w:rPr>
                <w:rFonts w:hint="eastAsia"/>
                <w:lang w:val="en-US" w:eastAsia="zh-CN"/>
              </w:rPr>
              <w:t>维保设备</w:t>
            </w:r>
            <w:r>
              <w:rPr>
                <w:rFonts w:hint="eastAsia"/>
              </w:rPr>
              <w:t>包括：新开普电控计量单元1532台、集中器20 台、转发控制器105 台、数据网关24台；常工电控计量单元1437台、数据网关6台。</w:t>
            </w:r>
          </w:p>
          <w:p w14:paraId="09F52E3B">
            <w:pPr>
              <w:spacing w:line="360" w:lineRule="auto"/>
              <w:rPr>
                <w:rFonts w:hint="eastAsia"/>
              </w:rPr>
            </w:pPr>
            <w:r>
              <w:rPr>
                <w:rFonts w:hint="eastAsia"/>
                <w:lang w:val="en-US" w:eastAsia="zh-CN"/>
              </w:rPr>
              <w:t>项目</w:t>
            </w:r>
            <w:r>
              <w:rPr>
                <w:rFonts w:hint="eastAsia"/>
              </w:rPr>
              <w:t>维保服务周期为自合同签订之日起 壹 年</w:t>
            </w:r>
            <w:r>
              <w:rPr>
                <w:rFonts w:hint="eastAsia"/>
                <w:lang w:eastAsia="zh-CN"/>
              </w:rPr>
              <w:t>。</w:t>
            </w:r>
            <w:r>
              <w:rPr>
                <w:rFonts w:hint="eastAsia"/>
                <w:lang w:val="en-US" w:eastAsia="zh-CN"/>
              </w:rPr>
              <w:t>项目</w:t>
            </w:r>
            <w:r>
              <w:rPr>
                <w:rFonts w:hint="eastAsia"/>
              </w:rPr>
              <w:t>一口价包干（维保过程所产生人工费、材料费、更换配件费用、运输费、交通费、税金以及技术支撑费用等均由</w:t>
            </w:r>
            <w:r>
              <w:rPr>
                <w:rFonts w:hint="eastAsia"/>
                <w:lang w:val="en-US" w:eastAsia="zh-CN"/>
              </w:rPr>
              <w:t>报价人承担</w:t>
            </w:r>
            <w:r>
              <w:rPr>
                <w:rFonts w:hint="eastAsia"/>
              </w:rPr>
              <w:t>）</w:t>
            </w:r>
            <w:r>
              <w:rPr>
                <w:rFonts w:hint="eastAsia"/>
                <w:lang w:eastAsia="zh-CN"/>
              </w:rPr>
              <w:t>，</w:t>
            </w:r>
            <w:r>
              <w:rPr>
                <w:rFonts w:hint="eastAsia"/>
              </w:rPr>
              <w:t>后续如有少量设备的增</w:t>
            </w:r>
            <w:r>
              <w:rPr>
                <w:rFonts w:hint="eastAsia"/>
                <w:lang w:val="en-US" w:eastAsia="zh-CN"/>
              </w:rPr>
              <w:t>加</w:t>
            </w:r>
            <w:r>
              <w:rPr>
                <w:rFonts w:hint="eastAsia"/>
              </w:rPr>
              <w:t>，在数量不超过上述设备</w:t>
            </w:r>
            <w:r>
              <w:rPr>
                <w:rFonts w:hint="eastAsia"/>
                <w:lang w:val="en-US" w:eastAsia="zh-CN"/>
              </w:rPr>
              <w:t>台数</w:t>
            </w:r>
            <w:r>
              <w:rPr>
                <w:rFonts w:hint="eastAsia"/>
              </w:rPr>
              <w:t>总量的10%（不含）</w:t>
            </w:r>
            <w:r>
              <w:rPr>
                <w:rFonts w:hint="eastAsia"/>
                <w:lang w:val="en-US" w:eastAsia="zh-CN"/>
              </w:rPr>
              <w:t>以内</w:t>
            </w:r>
            <w:r>
              <w:rPr>
                <w:rFonts w:hint="eastAsia"/>
              </w:rPr>
              <w:t>，包干价不变动。</w:t>
            </w:r>
          </w:p>
          <w:p w14:paraId="5E769A78">
            <w:pPr>
              <w:spacing w:line="360" w:lineRule="auto"/>
              <w:rPr>
                <w:rFonts w:hint="eastAsia" w:eastAsiaTheme="minorEastAsia"/>
                <w:lang w:eastAsia="zh-CN"/>
              </w:rPr>
            </w:pPr>
            <w:r>
              <w:rPr>
                <w:rFonts w:hint="eastAsia"/>
                <w:lang w:val="en-US" w:eastAsia="zh-CN"/>
              </w:rPr>
              <w:t>3.</w:t>
            </w:r>
            <w:r>
              <w:rPr>
                <w:rFonts w:hint="eastAsia"/>
              </w:rPr>
              <w:t>严格遵循《建筑电气工程施工质量验收规范》（GB 50303-2015）、《低压配电设计规范》（GB 50054-2011）、《电气装置安装工程电气设备交接试验标准》（GB 50150-2016）、《高校校园电力安全管理规范》及</w:t>
            </w:r>
            <w:r>
              <w:rPr>
                <w:rFonts w:hint="eastAsia"/>
                <w:lang w:val="en-US" w:eastAsia="zh-CN"/>
              </w:rPr>
              <w:t>采购人单位</w:t>
            </w:r>
            <w:r>
              <w:rPr>
                <w:rFonts w:hint="eastAsia"/>
              </w:rPr>
              <w:t>电气设备管理制度、消防安全管理规定等相关标准与文件要求</w:t>
            </w:r>
            <w:r>
              <w:rPr>
                <w:rFonts w:hint="eastAsia"/>
                <w:lang w:eastAsia="zh-CN"/>
              </w:rPr>
              <w:t>。</w:t>
            </w:r>
          </w:p>
          <w:p w14:paraId="7DEC5E01">
            <w:pPr>
              <w:spacing w:line="360" w:lineRule="auto"/>
              <w:rPr>
                <w:rFonts w:hint="eastAsia"/>
                <w:lang w:eastAsia="zh-CN"/>
              </w:rPr>
            </w:pPr>
            <w:r>
              <w:rPr>
                <w:rFonts w:hint="eastAsia"/>
                <w:lang w:val="en-US" w:eastAsia="zh-CN"/>
              </w:rPr>
              <w:t>4.</w:t>
            </w:r>
            <w:r>
              <w:rPr>
                <w:rFonts w:hint="eastAsia"/>
              </w:rPr>
              <w:t>严格落实安全作业规范，以日常巡检、预防性保养为核心，提前排查隐患，杜绝带病运行，从源头规避电气安全事故。所有维保作业、巡检记录、故障处理、设备更换均建立台账</w:t>
            </w:r>
            <w:r>
              <w:rPr>
                <w:rFonts w:hint="eastAsia"/>
                <w:lang w:eastAsia="zh-CN"/>
              </w:rPr>
              <w:t>。</w:t>
            </w:r>
          </w:p>
          <w:p w14:paraId="741E4E06">
            <w:pPr>
              <w:spacing w:line="360" w:lineRule="auto"/>
              <w:rPr>
                <w:rFonts w:hint="eastAsia"/>
              </w:rPr>
            </w:pPr>
            <w:r>
              <w:rPr>
                <w:rFonts w:hint="eastAsia"/>
                <w:lang w:val="en-US" w:eastAsia="zh-CN"/>
              </w:rPr>
              <w:t>二</w:t>
            </w:r>
            <w:r>
              <w:rPr>
                <w:rFonts w:hint="eastAsia"/>
              </w:rPr>
              <w:t>、维保工作内容与要求</w:t>
            </w:r>
          </w:p>
          <w:p w14:paraId="21E40E4C">
            <w:pPr>
              <w:spacing w:line="360" w:lineRule="auto"/>
              <w:rPr>
                <w:rFonts w:hint="eastAsia"/>
              </w:rPr>
            </w:pPr>
            <w:r>
              <w:rPr>
                <w:rFonts w:hint="eastAsia"/>
              </w:rPr>
              <w:t>（一）日常维保内容和要求</w:t>
            </w:r>
          </w:p>
          <w:p w14:paraId="6E7702B6">
            <w:pPr>
              <w:spacing w:line="360" w:lineRule="auto"/>
              <w:rPr>
                <w:rFonts w:hint="eastAsia"/>
              </w:rPr>
            </w:pPr>
            <w:r>
              <w:rPr>
                <w:rFonts w:hint="eastAsia"/>
              </w:rPr>
              <w:t>结合高校用电特性，将维保工作分为日常巡检、月度保养、季度检修、年度大修检测四大模块，明确各阶段作业内容与执行标准。</w:t>
            </w:r>
          </w:p>
          <w:p w14:paraId="188BBC49">
            <w:pPr>
              <w:spacing w:line="360" w:lineRule="auto"/>
              <w:rPr>
                <w:rFonts w:hint="eastAsia"/>
              </w:rPr>
            </w:pPr>
            <w:r>
              <w:rPr>
                <w:rFonts w:hint="eastAsia"/>
                <w:lang w:val="en-US" w:eastAsia="zh-CN"/>
              </w:rPr>
              <w:t>1.</w:t>
            </w:r>
            <w:r>
              <w:rPr>
                <w:rFonts w:hint="eastAsia"/>
              </w:rPr>
              <w:t>日常巡检</w:t>
            </w:r>
          </w:p>
          <w:p w14:paraId="72CCF14F">
            <w:pPr>
              <w:spacing w:line="360" w:lineRule="auto"/>
              <w:rPr>
                <w:rFonts w:hint="eastAsia"/>
              </w:rPr>
            </w:pPr>
            <w:r>
              <w:rPr>
                <w:rFonts w:hint="eastAsia"/>
              </w:rPr>
              <w:t>由专职维保人员</w:t>
            </w:r>
            <w:r>
              <w:rPr>
                <w:rFonts w:hint="eastAsia"/>
                <w:lang w:val="en-US" w:eastAsia="zh-CN"/>
              </w:rPr>
              <w:t>对学生公寓楼所有智能电控设备进行巡检（一周一轮回）</w:t>
            </w:r>
            <w:r>
              <w:rPr>
                <w:rFonts w:hint="eastAsia"/>
              </w:rPr>
              <w:t>，实时掌握设备运行状态，及时处理轻微异常，记录运行数据。</w:t>
            </w:r>
          </w:p>
          <w:p w14:paraId="30ACFBB1">
            <w:pPr>
              <w:spacing w:line="360" w:lineRule="auto"/>
              <w:rPr>
                <w:rFonts w:hint="eastAsia"/>
              </w:rPr>
            </w:pPr>
            <w:r>
              <w:rPr>
                <w:rFonts w:hint="eastAsia"/>
                <w:lang w:val="en-US" w:eastAsia="zh-CN"/>
              </w:rPr>
              <w:t>（1）</w:t>
            </w:r>
            <w:r>
              <w:rPr>
                <w:rFonts w:hint="eastAsia"/>
              </w:rPr>
              <w:t>设备外观检查：查看配电柜、控制柜外壳完好，无变形、破损、锈蚀、进水、积尘严重等情况；设备指示灯、显示屏显示正常，无异常报错、闪烁。</w:t>
            </w:r>
          </w:p>
          <w:p w14:paraId="3A35B33E">
            <w:pPr>
              <w:spacing w:line="360" w:lineRule="auto"/>
              <w:rPr>
                <w:rFonts w:hint="eastAsia"/>
              </w:rPr>
            </w:pPr>
            <w:r>
              <w:rPr>
                <w:rFonts w:hint="eastAsia"/>
                <w:lang w:val="en-US" w:eastAsia="zh-CN"/>
              </w:rPr>
              <w:t>（2）</w:t>
            </w:r>
            <w:r>
              <w:rPr>
                <w:rFonts w:hint="eastAsia"/>
              </w:rPr>
              <w:t>运行状态检查：监测电控设备运行温度、声音，无异常异响、发烫、异味；开关、接触器运行平稳，无频繁启停、卡顿现象。</w:t>
            </w:r>
          </w:p>
          <w:p w14:paraId="6F7557E7">
            <w:pPr>
              <w:spacing w:line="360" w:lineRule="auto"/>
              <w:rPr>
                <w:rFonts w:hint="eastAsia"/>
              </w:rPr>
            </w:pPr>
            <w:r>
              <w:rPr>
                <w:rFonts w:hint="eastAsia"/>
                <w:lang w:val="en-US" w:eastAsia="zh-CN"/>
              </w:rPr>
              <w:t>（3）</w:t>
            </w:r>
            <w:r>
              <w:rPr>
                <w:rFonts w:hint="eastAsia"/>
              </w:rPr>
              <w:t>安全功能检查：测试漏电保护器、过载保护装置灵敏有效，无失效、误动作、拒动作问题；应急电控系统处于待命状态。</w:t>
            </w:r>
          </w:p>
          <w:p w14:paraId="67328F2B">
            <w:pPr>
              <w:spacing w:line="360" w:lineRule="auto"/>
              <w:rPr>
                <w:rFonts w:hint="eastAsia"/>
              </w:rPr>
            </w:pPr>
            <w:r>
              <w:rPr>
                <w:rFonts w:hint="eastAsia"/>
                <w:lang w:val="en-US" w:eastAsia="zh-CN"/>
              </w:rPr>
              <w:t>（4）</w:t>
            </w:r>
            <w:r>
              <w:rPr>
                <w:rFonts w:hint="eastAsia"/>
              </w:rPr>
              <w:t>环境检查：电控设备机房、配电间通风、干燥、整洁，无杂物堆放、无易燃易爆物品，温湿度符合设备运行标准。</w:t>
            </w:r>
          </w:p>
          <w:p w14:paraId="3E3571EA">
            <w:pPr>
              <w:spacing w:line="360" w:lineRule="auto"/>
              <w:rPr>
                <w:rFonts w:hint="eastAsia"/>
              </w:rPr>
            </w:pPr>
            <w:r>
              <w:rPr>
                <w:rFonts w:hint="eastAsia"/>
                <w:lang w:eastAsia="zh-CN"/>
              </w:rPr>
              <w:t>（</w:t>
            </w:r>
            <w:r>
              <w:rPr>
                <w:rFonts w:hint="eastAsia"/>
                <w:lang w:val="en-US" w:eastAsia="zh-CN"/>
              </w:rPr>
              <w:t>5</w:t>
            </w:r>
            <w:r>
              <w:rPr>
                <w:rFonts w:hint="eastAsia"/>
                <w:lang w:eastAsia="zh-CN"/>
              </w:rPr>
              <w:t>）</w:t>
            </w:r>
            <w:r>
              <w:rPr>
                <w:rFonts w:hint="eastAsia"/>
              </w:rPr>
              <w:t>台账记录：填写《</w:t>
            </w:r>
            <w:r>
              <w:rPr>
                <w:rFonts w:hint="eastAsia"/>
                <w:lang w:val="en-US" w:eastAsia="zh-CN"/>
              </w:rPr>
              <w:t>智能</w:t>
            </w:r>
            <w:r>
              <w:rPr>
                <w:rFonts w:hint="eastAsia"/>
              </w:rPr>
              <w:t>电控系统日常巡检记录表》，标注设备运行状态、异常点位、待处理问题，形成闭环记录。</w:t>
            </w:r>
          </w:p>
          <w:p w14:paraId="127A7FF1">
            <w:pPr>
              <w:spacing w:line="360" w:lineRule="auto"/>
              <w:rPr>
                <w:rFonts w:hint="eastAsia"/>
              </w:rPr>
            </w:pPr>
            <w:r>
              <w:rPr>
                <w:rFonts w:hint="eastAsia"/>
                <w:lang w:val="en-US" w:eastAsia="zh-CN"/>
              </w:rPr>
              <w:t>2.</w:t>
            </w:r>
            <w:r>
              <w:rPr>
                <w:rFonts w:hint="eastAsia"/>
              </w:rPr>
              <w:t>月度保养（每月末执行）</w:t>
            </w:r>
          </w:p>
          <w:p w14:paraId="36C52C86">
            <w:pPr>
              <w:spacing w:line="360" w:lineRule="auto"/>
              <w:rPr>
                <w:rFonts w:hint="eastAsia"/>
              </w:rPr>
            </w:pPr>
            <w:r>
              <w:rPr>
                <w:rFonts w:hint="eastAsia"/>
              </w:rPr>
              <w:t>在日常巡检基础上，对</w:t>
            </w:r>
            <w:r>
              <w:rPr>
                <w:rFonts w:hint="eastAsia"/>
                <w:lang w:val="en-US" w:eastAsia="zh-CN"/>
              </w:rPr>
              <w:t>学生公寓楼电控系统相关设备</w:t>
            </w:r>
            <w:r>
              <w:rPr>
                <w:rFonts w:hint="eastAsia"/>
              </w:rPr>
              <w:t>进行精细化保养，消除轻微隐患，保障设备稳定运行。</w:t>
            </w:r>
          </w:p>
          <w:p w14:paraId="01BCA144">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对所有配电柜、控制柜进行全面除尘、清洁，清理设备内部积尘、杂物，避免积尘导致短路、漏电；</w:t>
            </w:r>
          </w:p>
          <w:p w14:paraId="0C8EA7CA">
            <w:pPr>
              <w:spacing w:line="360" w:lineRule="auto"/>
              <w:rPr>
                <w:rFonts w:hint="eastAsia"/>
              </w:rPr>
            </w:pPr>
            <w:r>
              <w:rPr>
                <w:rFonts w:hint="eastAsia"/>
                <w:lang w:val="en-US" w:eastAsia="zh-CN"/>
              </w:rPr>
              <w:t>（2）</w:t>
            </w:r>
            <w:r>
              <w:rPr>
                <w:rFonts w:hint="eastAsia"/>
              </w:rPr>
              <w:t>紧固设备接线端子、螺栓，排查线路松动、虚接问题，防止接触不良发热起火；</w:t>
            </w:r>
          </w:p>
          <w:p w14:paraId="67204305">
            <w:pPr>
              <w:spacing w:line="360" w:lineRule="auto"/>
              <w:rPr>
                <w:rFonts w:hint="eastAsia"/>
              </w:rPr>
            </w:pPr>
            <w:r>
              <w:rPr>
                <w:rFonts w:hint="eastAsia"/>
                <w:lang w:val="en-US" w:eastAsia="zh-CN"/>
              </w:rPr>
              <w:t>（3）</w:t>
            </w:r>
            <w:r>
              <w:rPr>
                <w:rFonts w:hint="eastAsia"/>
              </w:rPr>
              <w:t>检查开关、按钮、指示灯、仪表工况，更换损坏、失灵的小型元件；核对电控系统运行参数，校准电压、电流监测数据，确保数据精准；</w:t>
            </w:r>
          </w:p>
          <w:p w14:paraId="115B1D35">
            <w:pPr>
              <w:spacing w:line="360" w:lineRule="auto"/>
              <w:rPr>
                <w:rFonts w:hint="eastAsia"/>
              </w:rPr>
            </w:pPr>
            <w:r>
              <w:rPr>
                <w:rFonts w:hint="eastAsia"/>
                <w:lang w:eastAsia="zh-CN"/>
              </w:rPr>
              <w:t>（</w:t>
            </w:r>
            <w:r>
              <w:rPr>
                <w:rFonts w:hint="eastAsia"/>
                <w:lang w:val="en-US" w:eastAsia="zh-CN"/>
              </w:rPr>
              <w:t>4</w:t>
            </w:r>
            <w:r>
              <w:rPr>
                <w:rFonts w:hint="eastAsia"/>
                <w:lang w:eastAsia="zh-CN"/>
              </w:rPr>
              <w:t>）</w:t>
            </w:r>
            <w:r>
              <w:rPr>
                <w:rFonts w:hint="eastAsia"/>
              </w:rPr>
              <w:t>排查配电回路负荷情况，及时调整不合理负荷分配，杜绝长期过载运行。</w:t>
            </w:r>
          </w:p>
          <w:p w14:paraId="1ABE42FA">
            <w:pPr>
              <w:spacing w:line="360" w:lineRule="auto"/>
              <w:rPr>
                <w:rFonts w:hint="eastAsia"/>
              </w:rPr>
            </w:pPr>
            <w:r>
              <w:rPr>
                <w:rFonts w:hint="eastAsia"/>
                <w:lang w:val="en-US" w:eastAsia="zh-CN"/>
              </w:rPr>
              <w:t>3.</w:t>
            </w:r>
            <w:r>
              <w:rPr>
                <w:rFonts w:hint="eastAsia"/>
              </w:rPr>
              <w:t>季度检修（每季度末执行）</w:t>
            </w:r>
          </w:p>
          <w:p w14:paraId="2BB43E3B">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开展系统性设备检测与深度保养，重点排查隐蔽性隐患，对设备性能进行全面校验。</w:t>
            </w:r>
          </w:p>
          <w:p w14:paraId="5F841E1E">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线路检测：检测各配电回路线路绝缘电阻、接地电阻，排查线路老化、绝缘破损、接地不良等隐患，对老化线路及时标记、分批更换；</w:t>
            </w:r>
          </w:p>
          <w:p w14:paraId="56EE8786">
            <w:pPr>
              <w:spacing w:line="360" w:lineRule="auto"/>
              <w:rPr>
                <w:rFonts w:hint="eastAsia"/>
              </w:rPr>
            </w:pPr>
            <w:r>
              <w:rPr>
                <w:rFonts w:hint="eastAsia"/>
                <w:lang w:eastAsia="zh-CN"/>
              </w:rPr>
              <w:t>（</w:t>
            </w:r>
            <w:r>
              <w:rPr>
                <w:rFonts w:hint="eastAsia"/>
                <w:lang w:val="en-US" w:eastAsia="zh-CN"/>
              </w:rPr>
              <w:t>3</w:t>
            </w:r>
            <w:r>
              <w:rPr>
                <w:rFonts w:hint="eastAsia"/>
                <w:lang w:eastAsia="zh-CN"/>
              </w:rPr>
              <w:t>）</w:t>
            </w:r>
            <w:r>
              <w:rPr>
                <w:rFonts w:hint="eastAsia"/>
              </w:rPr>
              <w:t>元件性能检测：校验断路器、接触器、继电器、漏电保护器等核心元件动作性能，测试保护阈值是否达标，更换性能衰减、临近失效的元件；</w:t>
            </w:r>
          </w:p>
          <w:p w14:paraId="41C96B73">
            <w:pPr>
              <w:spacing w:line="360" w:lineRule="auto"/>
              <w:rPr>
                <w:rFonts w:hint="eastAsia"/>
              </w:rPr>
            </w:pPr>
            <w:r>
              <w:rPr>
                <w:rFonts w:hint="eastAsia"/>
                <w:lang w:eastAsia="zh-CN"/>
              </w:rPr>
              <w:t>（</w:t>
            </w:r>
            <w:r>
              <w:rPr>
                <w:rFonts w:hint="eastAsia"/>
                <w:lang w:val="en-US" w:eastAsia="zh-CN"/>
              </w:rPr>
              <w:t>4</w:t>
            </w:r>
            <w:r>
              <w:rPr>
                <w:rFonts w:hint="eastAsia"/>
                <w:lang w:eastAsia="zh-CN"/>
              </w:rPr>
              <w:t>）</w:t>
            </w:r>
            <w:r>
              <w:rPr>
                <w:rFonts w:hint="eastAsia"/>
              </w:rPr>
              <w:t>系统联动测试：测试消防联动电控、应急断电、应急照明电控系统联动功能，确保突发情况可自动切换、正常启动；</w:t>
            </w:r>
          </w:p>
          <w:p w14:paraId="2F4F5257">
            <w:pPr>
              <w:spacing w:line="360" w:lineRule="auto"/>
              <w:rPr>
                <w:rFonts w:hint="eastAsia"/>
              </w:rPr>
            </w:pPr>
            <w:r>
              <w:rPr>
                <w:rFonts w:hint="eastAsia"/>
                <w:lang w:eastAsia="zh-CN"/>
              </w:rPr>
              <w:t>（</w:t>
            </w:r>
            <w:r>
              <w:rPr>
                <w:rFonts w:hint="eastAsia"/>
                <w:lang w:val="en-US" w:eastAsia="zh-CN"/>
              </w:rPr>
              <w:t>5</w:t>
            </w:r>
            <w:r>
              <w:rPr>
                <w:rFonts w:hint="eastAsia"/>
                <w:lang w:eastAsia="zh-CN"/>
              </w:rPr>
              <w:t>）</w:t>
            </w:r>
            <w:r>
              <w:rPr>
                <w:rFonts w:hint="eastAsia"/>
              </w:rPr>
              <w:t>机房设备维保：对</w:t>
            </w:r>
            <w:r>
              <w:rPr>
                <w:rFonts w:hint="eastAsia"/>
                <w:lang w:val="en-US" w:eastAsia="zh-CN"/>
              </w:rPr>
              <w:t>机房控制电脑等设备</w:t>
            </w:r>
            <w:r>
              <w:rPr>
                <w:rFonts w:hint="eastAsia"/>
              </w:rPr>
              <w:t>进行检修，保障电控设备运行环境达标，防止设备受潮损坏；</w:t>
            </w:r>
          </w:p>
          <w:p w14:paraId="51BB398B">
            <w:pPr>
              <w:spacing w:line="360" w:lineRule="auto"/>
              <w:rPr>
                <w:rFonts w:hint="eastAsia"/>
              </w:rPr>
            </w:pPr>
            <w:r>
              <w:rPr>
                <w:rFonts w:hint="eastAsia"/>
                <w:lang w:eastAsia="zh-CN"/>
              </w:rPr>
              <w:t>（</w:t>
            </w:r>
            <w:r>
              <w:rPr>
                <w:rFonts w:hint="eastAsia"/>
                <w:lang w:val="en-US" w:eastAsia="zh-CN"/>
              </w:rPr>
              <w:t>6</w:t>
            </w:r>
            <w:r>
              <w:rPr>
                <w:rFonts w:hint="eastAsia"/>
                <w:lang w:eastAsia="zh-CN"/>
              </w:rPr>
              <w:t>）</w:t>
            </w:r>
            <w:r>
              <w:rPr>
                <w:rFonts w:hint="eastAsia"/>
              </w:rPr>
              <w:t>隐患整改：对季度排查发现的一般隐患当场</w:t>
            </w:r>
            <w:r>
              <w:rPr>
                <w:rFonts w:hint="eastAsia"/>
                <w:lang w:eastAsia="zh-CN"/>
              </w:rPr>
              <w:t>整改，对重大隐患</w:t>
            </w:r>
            <w:r>
              <w:rPr>
                <w:rFonts w:hint="eastAsia"/>
              </w:rPr>
              <w:t>制定专项整改方案，限期闭环处理，并上报学校后勤管理部门。</w:t>
            </w:r>
          </w:p>
          <w:p w14:paraId="0CCF4D38">
            <w:pPr>
              <w:spacing w:line="360" w:lineRule="auto"/>
              <w:rPr>
                <w:rFonts w:hint="eastAsia"/>
              </w:rPr>
            </w:pPr>
            <w:r>
              <w:rPr>
                <w:rFonts w:hint="eastAsia"/>
              </w:rPr>
              <w:t>年度大修与检测（每年寒暑假执行）</w:t>
            </w:r>
          </w:p>
          <w:p w14:paraId="513BCA48">
            <w:pPr>
              <w:spacing w:line="360" w:lineRule="auto"/>
              <w:rPr>
                <w:rFonts w:hint="eastAsia"/>
              </w:rPr>
            </w:pPr>
            <w:r>
              <w:rPr>
                <w:rFonts w:hint="eastAsia"/>
                <w:lang w:eastAsia="zh-CN"/>
              </w:rPr>
              <w:t>（</w:t>
            </w:r>
            <w:r>
              <w:rPr>
                <w:rFonts w:hint="eastAsia"/>
                <w:lang w:val="en-US" w:eastAsia="zh-CN"/>
              </w:rPr>
              <w:t>7</w:t>
            </w:r>
            <w:r>
              <w:rPr>
                <w:rFonts w:hint="eastAsia"/>
                <w:lang w:eastAsia="zh-CN"/>
              </w:rPr>
              <w:t>）</w:t>
            </w:r>
            <w:r>
              <w:rPr>
                <w:rFonts w:hint="eastAsia"/>
              </w:rPr>
              <w:t>利用寒暑假校园用电负荷低、不影响使用的窗口期，开展全年最大规模的电控系统大修、检测、升级改造工作。</w:t>
            </w:r>
          </w:p>
          <w:p w14:paraId="1E3D1251">
            <w:pPr>
              <w:spacing w:line="360" w:lineRule="auto"/>
              <w:rPr>
                <w:rFonts w:hint="eastAsia"/>
              </w:rPr>
            </w:pPr>
            <w:r>
              <w:rPr>
                <w:rFonts w:hint="eastAsia"/>
                <w:lang w:eastAsia="zh-CN"/>
              </w:rPr>
              <w:t>（</w:t>
            </w:r>
            <w:r>
              <w:rPr>
                <w:rFonts w:hint="eastAsia"/>
                <w:lang w:val="en-US" w:eastAsia="zh-CN"/>
              </w:rPr>
              <w:t>8</w:t>
            </w:r>
            <w:r>
              <w:rPr>
                <w:rFonts w:hint="eastAsia"/>
                <w:lang w:eastAsia="zh-CN"/>
              </w:rPr>
              <w:t>）</w:t>
            </w:r>
            <w:r>
              <w:rPr>
                <w:rFonts w:hint="eastAsia"/>
              </w:rPr>
              <w:t>对电控设备进行全面停电检修，拆解检查核心部件磨损、老化情况，对老旧、超期服役设备进行更换；</w:t>
            </w:r>
          </w:p>
          <w:p w14:paraId="1B9347E5">
            <w:pPr>
              <w:spacing w:line="360" w:lineRule="auto"/>
              <w:rPr>
                <w:rFonts w:hint="eastAsia"/>
              </w:rPr>
            </w:pPr>
            <w:r>
              <w:rPr>
                <w:rFonts w:hint="eastAsia"/>
                <w:lang w:eastAsia="zh-CN"/>
              </w:rPr>
              <w:t>（</w:t>
            </w:r>
            <w:r>
              <w:rPr>
                <w:rFonts w:hint="eastAsia"/>
                <w:lang w:val="en-US" w:eastAsia="zh-CN"/>
              </w:rPr>
              <w:t>9</w:t>
            </w:r>
            <w:r>
              <w:rPr>
                <w:rFonts w:hint="eastAsia"/>
                <w:lang w:eastAsia="zh-CN"/>
              </w:rPr>
              <w:t>）</w:t>
            </w:r>
            <w:r>
              <w:rPr>
                <w:rFonts w:hint="eastAsia"/>
              </w:rPr>
              <w:t>全面排查主干电控线路、预埋线路，修复破损、老化线路，整改不规范接线、私拉乱接遗留隐患；</w:t>
            </w:r>
          </w:p>
          <w:p w14:paraId="436E505C">
            <w:pPr>
              <w:spacing w:line="360" w:lineRule="auto"/>
              <w:rPr>
                <w:rFonts w:hint="eastAsia"/>
              </w:rPr>
            </w:pPr>
            <w:r>
              <w:rPr>
                <w:rFonts w:hint="eastAsia"/>
                <w:lang w:eastAsia="zh-CN"/>
              </w:rPr>
              <w:t>（</w:t>
            </w:r>
            <w:r>
              <w:rPr>
                <w:rFonts w:hint="eastAsia"/>
                <w:lang w:val="en-US" w:eastAsia="zh-CN"/>
              </w:rPr>
              <w:t>10</w:t>
            </w:r>
            <w:r>
              <w:rPr>
                <w:rFonts w:hint="eastAsia"/>
                <w:lang w:eastAsia="zh-CN"/>
              </w:rPr>
              <w:t>）</w:t>
            </w:r>
            <w:r>
              <w:rPr>
                <w:rFonts w:hint="eastAsia"/>
              </w:rPr>
              <w:t>梳理全年设备运行故障数据，优化电控系统负荷分配、保护参数设置，提升系统稳定性；完成全年维保台账整理、设备档案更新，形成年度维保总结报告。</w:t>
            </w:r>
          </w:p>
          <w:p w14:paraId="68B924C3">
            <w:pPr>
              <w:spacing w:line="360" w:lineRule="auto"/>
              <w:rPr>
                <w:rFonts w:hint="eastAsia"/>
              </w:rPr>
            </w:pPr>
            <w:r>
              <w:rPr>
                <w:rFonts w:hint="eastAsia"/>
              </w:rPr>
              <w:t>（二）故障应急处置</w:t>
            </w:r>
          </w:p>
          <w:p w14:paraId="49B7D32B">
            <w:pPr>
              <w:spacing w:line="360" w:lineRule="auto"/>
              <w:rPr>
                <w:rFonts w:hint="eastAsia"/>
              </w:rPr>
            </w:pPr>
            <w:r>
              <w:rPr>
                <w:rFonts w:hint="eastAsia"/>
              </w:rPr>
              <w:t>1</w:t>
            </w:r>
            <w:r>
              <w:rPr>
                <w:rFonts w:hint="eastAsia"/>
                <w:lang w:eastAsia="zh-CN"/>
              </w:rPr>
              <w:t>.</w:t>
            </w:r>
            <w:r>
              <w:rPr>
                <w:rFonts w:hint="eastAsia"/>
              </w:rPr>
              <w:t>应急响应机制</w:t>
            </w:r>
          </w:p>
          <w:p w14:paraId="622C7AB2">
            <w:pPr>
              <w:spacing w:line="360" w:lineRule="auto"/>
              <w:rPr>
                <w:rFonts w:hint="eastAsia"/>
              </w:rPr>
            </w:pPr>
            <w:r>
              <w:rPr>
                <w:rFonts w:hint="eastAsia"/>
              </w:rPr>
              <w:t>提供7×24小时维保服务，并提供服务电话，出现技术故障应在接到故障通知起1小时内响应，一般问题</w:t>
            </w:r>
            <w:r>
              <w:rPr>
                <w:rFonts w:hint="eastAsia"/>
                <w:lang w:eastAsia="zh-CN"/>
              </w:rPr>
              <w:t>（</w:t>
            </w:r>
            <w:r>
              <w:rPr>
                <w:rFonts w:hint="eastAsia"/>
              </w:rPr>
              <w:t>指不影响整体供电与安全、通过远程调试或常规维修即可解决的故障（如单台计量终端参数异常、个别回路非关键设备故障等）</w:t>
            </w:r>
            <w:r>
              <w:rPr>
                <w:rFonts w:hint="eastAsia"/>
                <w:lang w:eastAsia="zh-CN"/>
              </w:rPr>
              <w:t>）</w:t>
            </w:r>
            <w:r>
              <w:rPr>
                <w:rFonts w:hint="eastAsia"/>
              </w:rPr>
              <w:t>2小时内通过远程方式解决；</w:t>
            </w:r>
            <w:r>
              <w:rPr>
                <w:rFonts w:hint="eastAsia"/>
                <w:lang w:val="en-US" w:eastAsia="zh-CN"/>
              </w:rPr>
              <w:t>重</w:t>
            </w:r>
            <w:r>
              <w:rPr>
                <w:rFonts w:hint="eastAsia"/>
              </w:rPr>
              <w:t>大的问题</w:t>
            </w:r>
            <w:r>
              <w:rPr>
                <w:rFonts w:hint="eastAsia"/>
                <w:lang w:eastAsia="zh-CN"/>
              </w:rPr>
              <w:t>（</w:t>
            </w:r>
            <w:r>
              <w:rPr>
                <w:rFonts w:hint="eastAsia"/>
              </w:rPr>
              <w:t>指影响区域或全校供电安全、应急供电，或可能导致大面积停断电的设备故障</w:t>
            </w:r>
            <w:r>
              <w:rPr>
                <w:rFonts w:hint="eastAsia"/>
                <w:lang w:eastAsia="zh-CN"/>
              </w:rPr>
              <w:t>）</w:t>
            </w:r>
            <w:r>
              <w:rPr>
                <w:rFonts w:hint="eastAsia"/>
              </w:rPr>
              <w:t>，在接到报修通知后4小时内派技术人员到达现场排除故障，确保系统正常运行。</w:t>
            </w:r>
          </w:p>
          <w:p w14:paraId="57E63A0A">
            <w:pPr>
              <w:spacing w:line="360" w:lineRule="auto"/>
              <w:rPr>
                <w:rFonts w:hint="eastAsia"/>
              </w:rPr>
            </w:pPr>
            <w:r>
              <w:rPr>
                <w:rFonts w:hint="eastAsia"/>
              </w:rPr>
              <w:t>2</w:t>
            </w:r>
            <w:r>
              <w:rPr>
                <w:rFonts w:hint="eastAsia"/>
                <w:lang w:eastAsia="zh-CN"/>
              </w:rPr>
              <w:t>.</w:t>
            </w:r>
            <w:r>
              <w:rPr>
                <w:rFonts w:hint="eastAsia"/>
              </w:rPr>
              <w:t>常见故障处置流程</w:t>
            </w:r>
          </w:p>
          <w:p w14:paraId="34AED100">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线路跳闸、突发断电：立即隔离故障回路，排查过载、短路、漏电原因，区分是设备故障还是线路故障；排查无安全隐患后，尝试恢复供电；无法</w:t>
            </w:r>
            <w:r>
              <w:rPr>
                <w:rFonts w:hint="eastAsia"/>
                <w:lang w:eastAsia="zh-CN"/>
              </w:rPr>
              <w:t>及时</w:t>
            </w:r>
            <w:r>
              <w:rPr>
                <w:rFonts w:hint="eastAsia"/>
              </w:rPr>
              <w:t>修复的，第一时间上报后勤部门，告知受影响区域，安排临时供电措施，并持续跟进修复。</w:t>
            </w:r>
          </w:p>
          <w:p w14:paraId="1F236C1D">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设备发热、异响、异味：立即关停故障设备，切断对应电源，防止故障扩大引发火灾、设备烧毁；拆解排查接线松动、元件老化、负荷过载等问题，快速整改修复，修复后试运行，确认无异常后方可正常投入使用。</w:t>
            </w:r>
          </w:p>
          <w:p w14:paraId="1462A3D8">
            <w:pPr>
              <w:spacing w:line="360" w:lineRule="auto"/>
              <w:rPr>
                <w:rFonts w:hint="eastAsia"/>
              </w:rPr>
            </w:pPr>
            <w:r>
              <w:rPr>
                <w:rFonts w:hint="eastAsia"/>
              </w:rPr>
              <w:t>3</w:t>
            </w:r>
            <w:r>
              <w:rPr>
                <w:rFonts w:hint="eastAsia"/>
                <w:lang w:eastAsia="zh-CN"/>
              </w:rPr>
              <w:t>.</w:t>
            </w:r>
            <w:r>
              <w:rPr>
                <w:rFonts w:hint="eastAsia"/>
              </w:rPr>
              <w:t>重大事故处置</w:t>
            </w:r>
          </w:p>
          <w:p w14:paraId="2FA2EEF7">
            <w:pPr>
              <w:spacing w:line="360" w:lineRule="auto"/>
              <w:rPr>
                <w:rFonts w:hint="eastAsia"/>
              </w:rPr>
            </w:pPr>
            <w:r>
              <w:rPr>
                <w:rFonts w:hint="eastAsia"/>
              </w:rPr>
              <w:t>若发生电气起火、大面积停电、设备炸裂等重大安全事故，第一时间切断总电源、疏散周边人员，上报</w:t>
            </w:r>
            <w:r>
              <w:rPr>
                <w:rFonts w:hint="eastAsia"/>
                <w:lang w:eastAsia="zh-CN"/>
              </w:rPr>
              <w:t>采购</w:t>
            </w:r>
            <w:r>
              <w:rPr>
                <w:rFonts w:hint="eastAsia"/>
                <w:lang w:val="en-US" w:eastAsia="zh-CN"/>
              </w:rPr>
              <w:t>单位</w:t>
            </w:r>
            <w:r>
              <w:rPr>
                <w:rFonts w:hint="eastAsia"/>
              </w:rPr>
              <w:t>安全管理部门与后勤部门，配合消防、应急部门开展处置，事后开展事故溯源、隐患排查、全面整改，杜绝同类问题复发。</w:t>
            </w:r>
          </w:p>
          <w:p w14:paraId="78B162B1">
            <w:pPr>
              <w:spacing w:line="360" w:lineRule="auto"/>
              <w:rPr>
                <w:rFonts w:hint="eastAsia"/>
              </w:rPr>
            </w:pPr>
            <w:r>
              <w:rPr>
                <w:rFonts w:hint="eastAsia"/>
              </w:rPr>
              <w:t>（三）人员配置要求</w:t>
            </w:r>
          </w:p>
          <w:p w14:paraId="18F7357D">
            <w:pPr>
              <w:spacing w:line="360" w:lineRule="auto"/>
              <w:rPr>
                <w:rFonts w:hint="eastAsia"/>
                <w:b/>
                <w:bCs/>
                <w:lang w:val="en-US" w:eastAsia="zh-CN"/>
              </w:rPr>
            </w:pPr>
            <w:r>
              <w:rPr>
                <w:rFonts w:hint="eastAsia"/>
              </w:rPr>
              <w:t xml:space="preserve">组建专项维保团队，人数不少于 </w:t>
            </w:r>
            <w:r>
              <w:rPr>
                <w:rFonts w:hint="eastAsia"/>
                <w:lang w:val="en-US" w:eastAsia="zh-CN"/>
              </w:rPr>
              <w:t>3</w:t>
            </w:r>
            <w:r>
              <w:rPr>
                <w:rFonts w:hint="eastAsia"/>
              </w:rPr>
              <w:t xml:space="preserve"> 人</w:t>
            </w:r>
            <w:r>
              <w:rPr>
                <w:rFonts w:hint="eastAsia"/>
                <w:lang w:eastAsia="zh-CN"/>
              </w:rPr>
              <w:t>，</w:t>
            </w:r>
            <w:r>
              <w:rPr>
                <w:rFonts w:hint="eastAsia"/>
                <w:lang w:val="en-US" w:eastAsia="zh-CN"/>
              </w:rPr>
              <w:t>包含</w:t>
            </w:r>
            <w:r>
              <w:rPr>
                <w:rFonts w:hint="eastAsia"/>
              </w:rPr>
              <w:t>低压电工、电控系统运维工程师</w:t>
            </w:r>
            <w:r>
              <w:rPr>
                <w:rFonts w:hint="eastAsia"/>
                <w:lang w:eastAsia="zh-CN"/>
              </w:rPr>
              <w:t>。</w:t>
            </w:r>
            <w:r>
              <w:rPr>
                <w:rFonts w:hint="eastAsia"/>
              </w:rPr>
              <w:t>所有作业人员均持有国家认可的特种作业操作证，熟悉校园电控系统布局与设备特性。</w:t>
            </w:r>
            <w:r>
              <w:rPr>
                <w:rFonts w:hint="eastAsia"/>
                <w:b/>
                <w:bCs/>
                <w:lang w:val="en-US" w:eastAsia="zh-CN"/>
              </w:rPr>
              <w:t>报价时须提供：</w:t>
            </w:r>
          </w:p>
          <w:p w14:paraId="614695B5">
            <w:pPr>
              <w:spacing w:line="360" w:lineRule="auto"/>
              <w:rPr>
                <w:rFonts w:hint="eastAsia"/>
                <w:b/>
                <w:bCs/>
                <w:lang w:val="en-US" w:eastAsia="zh-CN"/>
              </w:rPr>
            </w:pPr>
            <w:r>
              <w:rPr>
                <w:rFonts w:hint="eastAsia"/>
                <w:b/>
                <w:bCs/>
                <w:lang w:val="en-US" w:eastAsia="zh-CN"/>
              </w:rPr>
              <w:t>1.人员岗位一览表；</w:t>
            </w:r>
          </w:p>
          <w:p w14:paraId="67B202AA">
            <w:pPr>
              <w:spacing w:line="360" w:lineRule="auto"/>
              <w:rPr>
                <w:rFonts w:hint="eastAsia"/>
                <w:b/>
                <w:bCs/>
                <w:lang w:val="en-US" w:eastAsia="zh-CN"/>
              </w:rPr>
            </w:pPr>
            <w:r>
              <w:rPr>
                <w:rFonts w:hint="eastAsia"/>
                <w:b/>
                <w:bCs/>
                <w:lang w:val="en-US" w:eastAsia="zh-CN"/>
              </w:rPr>
              <w:t>2.</w:t>
            </w:r>
            <w:r>
              <w:rPr>
                <w:rFonts w:hint="eastAsia"/>
                <w:b/>
                <w:bCs/>
              </w:rPr>
              <w:t>维保团队</w:t>
            </w:r>
            <w:r>
              <w:rPr>
                <w:rFonts w:hint="eastAsia"/>
                <w:b/>
                <w:bCs/>
                <w:lang w:val="en-US" w:eastAsia="zh-CN"/>
              </w:rPr>
              <w:t>人员对应专业的有效证书复印件并加盖公章；</w:t>
            </w:r>
          </w:p>
          <w:p w14:paraId="1100510E">
            <w:pPr>
              <w:spacing w:line="360" w:lineRule="auto"/>
              <w:rPr>
                <w:rFonts w:hint="eastAsia"/>
                <w:b/>
                <w:bCs/>
                <w:lang w:val="en-US" w:eastAsia="zh-CN"/>
              </w:rPr>
            </w:pPr>
            <w:r>
              <w:rPr>
                <w:rFonts w:hint="eastAsia"/>
                <w:b/>
                <w:bCs/>
                <w:lang w:val="en-US" w:eastAsia="zh-CN"/>
              </w:rPr>
              <w:t>3.提供截止报价之日前连续3个月维保团队人员在报价单位的社保证明文件复印件并加盖单位公章。</w:t>
            </w:r>
          </w:p>
          <w:p w14:paraId="03E3341F">
            <w:pPr>
              <w:spacing w:line="360" w:lineRule="auto"/>
              <w:rPr>
                <w:rFonts w:hint="eastAsia"/>
                <w:b/>
                <w:bCs/>
                <w:lang w:val="en-US" w:eastAsia="zh-CN"/>
              </w:rPr>
            </w:pPr>
            <w:r>
              <w:rPr>
                <w:rFonts w:hint="eastAsia"/>
                <w:b/>
                <w:bCs/>
                <w:lang w:val="en-US" w:eastAsia="zh-CN"/>
              </w:rPr>
              <w:t>以上材料如提供不全或未提供则视为报价无效，如因提供材料不清晰导致被误读、漏读或者查找不到相关内容的，由此引发的后果由报价人自行承担。</w:t>
            </w:r>
          </w:p>
          <w:p w14:paraId="3FB65D72">
            <w:pPr>
              <w:spacing w:line="360" w:lineRule="auto"/>
              <w:rPr>
                <w:rFonts w:hint="eastAsia"/>
              </w:rPr>
            </w:pPr>
            <w:r>
              <w:rPr>
                <w:rFonts w:hint="eastAsia"/>
              </w:rPr>
              <w:t>（四）安全作业要求</w:t>
            </w:r>
          </w:p>
          <w:p w14:paraId="65ECCDCA">
            <w:pPr>
              <w:spacing w:line="360" w:lineRule="auto"/>
              <w:rPr>
                <w:rFonts w:hint="eastAsia"/>
              </w:rPr>
            </w:pPr>
            <w:r>
              <w:rPr>
                <w:rFonts w:hint="eastAsia"/>
                <w:lang w:val="en-US" w:eastAsia="zh-CN"/>
              </w:rPr>
              <w:t>1.</w:t>
            </w:r>
            <w:r>
              <w:rPr>
                <w:rFonts w:hint="eastAsia"/>
              </w:rPr>
              <w:t>所有电气维保作业必须严格执行“停电、验电、接地、挂牌、上锁”安全流程，严禁带电违规作业，特殊</w:t>
            </w:r>
            <w:r>
              <w:rPr>
                <w:rFonts w:hint="eastAsia"/>
                <w:lang w:val="en-US" w:eastAsia="zh-CN"/>
              </w:rPr>
              <w:t>带电作业须由持证人员操作，现场配备专人全程监护，并设置安全警示标识与隔离措施。</w:t>
            </w:r>
          </w:p>
          <w:p w14:paraId="488AE28E">
            <w:pPr>
              <w:spacing w:line="360" w:lineRule="auto"/>
              <w:rPr>
                <w:rFonts w:hint="eastAsia"/>
              </w:rPr>
            </w:pPr>
            <w:r>
              <w:rPr>
                <w:rFonts w:hint="eastAsia"/>
                <w:lang w:val="en-US" w:eastAsia="zh-CN"/>
              </w:rPr>
              <w:t>2.</w:t>
            </w:r>
            <w:r>
              <w:rPr>
                <w:rFonts w:hint="eastAsia"/>
              </w:rPr>
              <w:t>作业前提前排查作业环境，清理易燃易爆物品，配备灭火器、绝缘工具、防护用品，做好安全防护措施。</w:t>
            </w:r>
          </w:p>
          <w:p w14:paraId="02D451FF">
            <w:pPr>
              <w:spacing w:line="360" w:lineRule="auto"/>
              <w:rPr>
                <w:rFonts w:hint="eastAsia"/>
              </w:rPr>
            </w:pPr>
            <w:r>
              <w:rPr>
                <w:rFonts w:hint="eastAsia"/>
                <w:lang w:val="en-US" w:eastAsia="zh-CN"/>
              </w:rPr>
              <w:t>3.</w:t>
            </w:r>
            <w:r>
              <w:rPr>
                <w:rFonts w:hint="eastAsia"/>
              </w:rPr>
              <w:t>校园公共区域、教学区域停电维保需提前24小时发布通知，避开教学、考试、大型活动时段，最大限度降低影响。</w:t>
            </w:r>
          </w:p>
          <w:p w14:paraId="25BDBFDB">
            <w:pPr>
              <w:spacing w:line="360" w:lineRule="auto"/>
              <w:rPr>
                <w:rFonts w:hint="eastAsia"/>
              </w:rPr>
            </w:pPr>
            <w:r>
              <w:rPr>
                <w:rFonts w:hint="eastAsia"/>
                <w:lang w:val="en-US" w:eastAsia="zh-CN"/>
              </w:rPr>
              <w:t>4.</w:t>
            </w:r>
            <w:r>
              <w:rPr>
                <w:rFonts w:hint="eastAsia"/>
              </w:rPr>
              <w:t>严格规范工具、设备使用，所有绝缘工具、检测仪器定期校验，确保性能合格、安全有效。</w:t>
            </w:r>
          </w:p>
          <w:p w14:paraId="16F94A19">
            <w:pPr>
              <w:spacing w:line="360" w:lineRule="auto"/>
              <w:rPr>
                <w:rFonts w:hint="eastAsia"/>
              </w:rPr>
            </w:pPr>
            <w:r>
              <w:rPr>
                <w:rFonts w:hint="eastAsia"/>
              </w:rPr>
              <w:t>作业完成后，全面检查现场，确认无安全隐患、设备运行正常后方可撤离现场，做好作业记录。</w:t>
            </w:r>
          </w:p>
          <w:p w14:paraId="51C6EA27">
            <w:pPr>
              <w:spacing w:line="360" w:lineRule="auto"/>
              <w:rPr>
                <w:rFonts w:hint="eastAsia"/>
              </w:rPr>
            </w:pPr>
            <w:r>
              <w:rPr>
                <w:rFonts w:hint="eastAsia"/>
              </w:rPr>
              <w:t>（五）设备耗材库存要求</w:t>
            </w:r>
          </w:p>
          <w:p w14:paraId="4A845494">
            <w:pPr>
              <w:spacing w:line="360" w:lineRule="auto"/>
              <w:rPr>
                <w:rFonts w:hint="eastAsia"/>
              </w:rPr>
            </w:pPr>
            <w:r>
              <w:rPr>
                <w:rFonts w:hint="eastAsia"/>
              </w:rPr>
              <w:t>建立专用维保物资仓库，常备主要易损件（如断路器、接触器、开关、保险等）库存数量应满足日常维保及抢修需要，且不低于当月实际使用量的 50%；每月至少盘点 1 次物资库存，及时补充短缺耗材，杜绝因物资缺失延误维修工作。同时建立设备配件供应商备用机制，针对特殊、老旧设备配件，提前对接供应商，保障快速采购更换。</w:t>
            </w:r>
          </w:p>
          <w:p w14:paraId="2A3B8E40">
            <w:pPr>
              <w:spacing w:line="360" w:lineRule="auto"/>
              <w:rPr>
                <w:rFonts w:hint="eastAsia"/>
              </w:rPr>
            </w:pPr>
            <w:r>
              <w:rPr>
                <w:rFonts w:hint="eastAsia"/>
              </w:rPr>
              <w:t>（六）台账与档案管理要求</w:t>
            </w:r>
          </w:p>
          <w:p w14:paraId="3C877885">
            <w:pPr>
              <w:spacing w:line="360" w:lineRule="auto"/>
              <w:rPr>
                <w:rFonts w:hint="eastAsia"/>
              </w:rPr>
            </w:pPr>
            <w:r>
              <w:rPr>
                <w:rFonts w:hint="eastAsia"/>
              </w:rPr>
              <w:t>建立完整的校园电控系统设备档案与维保台账，实现一机一档、全程可追溯。作业完成后3个工作日内完成台账更新</w:t>
            </w:r>
            <w:r>
              <w:rPr>
                <w:rFonts w:hint="eastAsia"/>
                <w:lang w:eastAsia="zh-CN"/>
              </w:rPr>
              <w:t>，</w:t>
            </w:r>
            <w:r>
              <w:rPr>
                <w:rFonts w:hint="eastAsia"/>
              </w:rPr>
              <w:t>主要包含：设备基础信息台账、日常巡检记录表、月度季度维保记录表、年度检测报告、故障维修台账、设备更换记录、隐患整改台账、应急处置记录等。所有纸质台账存档留存，电子台账同步更新，定期汇总梳理，为系统优化、设备更新、年度维保计划制定提供数据支撑。</w:t>
            </w:r>
          </w:p>
          <w:p w14:paraId="416D2DF9">
            <w:pPr>
              <w:spacing w:line="360" w:lineRule="auto"/>
              <w:rPr>
                <w:rFonts w:hint="eastAsia"/>
              </w:rPr>
            </w:pPr>
            <w:r>
              <w:rPr>
                <w:rFonts w:hint="eastAsia"/>
              </w:rPr>
              <w:t>（七）</w:t>
            </w:r>
            <w:r>
              <w:rPr>
                <w:rFonts w:hint="eastAsia"/>
                <w:lang w:eastAsia="zh-CN"/>
              </w:rPr>
              <w:t>其他</w:t>
            </w:r>
            <w:r>
              <w:rPr>
                <w:rFonts w:hint="eastAsia"/>
              </w:rPr>
              <w:t>要求</w:t>
            </w:r>
          </w:p>
          <w:p w14:paraId="19EA4760">
            <w:pPr>
              <w:spacing w:line="360" w:lineRule="auto"/>
              <w:rPr>
                <w:rFonts w:hint="eastAsia"/>
              </w:rPr>
            </w:pPr>
            <w:r>
              <w:rPr>
                <w:rFonts w:hint="eastAsia"/>
              </w:rPr>
              <w:t>1.巡检与报告制度</w:t>
            </w:r>
          </w:p>
          <w:p w14:paraId="0B156C83">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每季度至少开展1次例行巡检，每学期开学前额外开展1次全面巡检，巡检结束后 5 个工作日内提交《巡检报告》。</w:t>
            </w:r>
          </w:p>
          <w:p w14:paraId="610D5005">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每半年提交一次《运维服务总结报告》，含故障根因分析、系统运行趋势、安全隐患排查及优化建议。</w:t>
            </w:r>
          </w:p>
          <w:p w14:paraId="0D2BD3DE">
            <w:pPr>
              <w:spacing w:line="360" w:lineRule="auto"/>
              <w:rPr>
                <w:rFonts w:hint="eastAsia"/>
              </w:rPr>
            </w:pPr>
            <w:r>
              <w:rPr>
                <w:rFonts w:hint="eastAsia"/>
                <w:lang w:eastAsia="zh-CN"/>
              </w:rPr>
              <w:t>（</w:t>
            </w:r>
            <w:r>
              <w:rPr>
                <w:rFonts w:hint="eastAsia"/>
                <w:lang w:val="en-US" w:eastAsia="zh-CN"/>
              </w:rPr>
              <w:t>3</w:t>
            </w:r>
            <w:r>
              <w:rPr>
                <w:rFonts w:hint="eastAsia"/>
                <w:lang w:eastAsia="zh-CN"/>
              </w:rPr>
              <w:t>）</w:t>
            </w:r>
            <w:r>
              <w:rPr>
                <w:rFonts w:hint="eastAsia"/>
              </w:rPr>
              <w:t>迎新、考试及重大节假日前 3 个工作日，提交《专项保障方案》。</w:t>
            </w:r>
          </w:p>
          <w:p w14:paraId="71E9DB14">
            <w:pPr>
              <w:spacing w:line="360" w:lineRule="auto"/>
              <w:rPr>
                <w:rFonts w:hint="eastAsia"/>
              </w:rPr>
            </w:pPr>
            <w:r>
              <w:rPr>
                <w:rFonts w:hint="eastAsia"/>
              </w:rPr>
              <w:t>2.服务过程与安全管理</w:t>
            </w:r>
          </w:p>
          <w:p w14:paraId="3DCDBBF2">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规范作业： 运维人员须严格遵守采购人规章制度，规范操作，佩戴工牌，确保人身、设备及数据安全。</w:t>
            </w:r>
          </w:p>
          <w:p w14:paraId="622722C0">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数据保密： 须与采购人签订保密协议，对接触到的师生信息、能耗数据及系统配置承担保密责任，不得泄露或用于商业用途。</w:t>
            </w:r>
          </w:p>
          <w:p w14:paraId="058E323B">
            <w:pPr>
              <w:spacing w:line="360" w:lineRule="auto"/>
              <w:rPr>
                <w:rFonts w:hint="eastAsia"/>
              </w:rPr>
            </w:pPr>
            <w:r>
              <w:rPr>
                <w:rFonts w:hint="eastAsia"/>
              </w:rPr>
              <w:t>3.服务验收与考核</w:t>
            </w:r>
          </w:p>
          <w:p w14:paraId="385C6DE5">
            <w:pPr>
              <w:spacing w:line="360" w:lineRule="auto"/>
              <w:rPr>
                <w:rFonts w:hint="eastAsia"/>
                <w:highlight w:val="none"/>
              </w:rPr>
            </w:pPr>
            <w:r>
              <w:rPr>
                <w:rFonts w:hint="eastAsia"/>
                <w:lang w:eastAsia="zh-CN"/>
              </w:rPr>
              <w:t>（</w:t>
            </w:r>
            <w:r>
              <w:rPr>
                <w:rFonts w:hint="eastAsia"/>
                <w:lang w:val="en-US" w:eastAsia="zh-CN"/>
              </w:rPr>
              <w:t>1</w:t>
            </w:r>
            <w:r>
              <w:rPr>
                <w:rFonts w:hint="eastAsia"/>
                <w:lang w:eastAsia="zh-CN"/>
              </w:rPr>
              <w:t>）</w:t>
            </w:r>
            <w:r>
              <w:rPr>
                <w:rFonts w:hint="eastAsia"/>
              </w:rPr>
              <w:t>实行月度考核与年度综合考评相结合的考核机制，严</w:t>
            </w:r>
            <w:r>
              <w:rPr>
                <w:rFonts w:hint="eastAsia"/>
                <w:highlight w:val="none"/>
              </w:rPr>
              <w:t>格依据</w:t>
            </w:r>
            <w:r>
              <w:rPr>
                <w:rFonts w:hint="eastAsia"/>
                <w:b/>
                <w:bCs/>
                <w:highlight w:val="none"/>
              </w:rPr>
              <w:t>附件《电控系统维修维保服务质量评价表》</w:t>
            </w:r>
            <w:r>
              <w:rPr>
                <w:rFonts w:hint="eastAsia"/>
                <w:highlight w:val="none"/>
              </w:rPr>
              <w:t>相关指标进行评分。</w:t>
            </w:r>
          </w:p>
          <w:p w14:paraId="5C365A72">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包括但不限于：因运维不当造成全校性或某一校区整体停电、核心业务数据丢失、大面积误断电等情形重大责任事故的，采购人有权单方解除合同并追究法律责任。由采购人后勤管理部门会同相关职能部门组织调查认定，必要时邀请具备资质的第三方专业机构或专家论证；采购人拟据此单方解除合同的，事先书面通知报价人并说明事实及理由，报价人对认定结论有异议的，可在收到书面通知之日起 5 个工作日内提出书面复核申请，双方仍不能达成一致的，按合同争议解决方式处理。</w:t>
            </w:r>
          </w:p>
          <w:p w14:paraId="64E06129">
            <w:pPr>
              <w:spacing w:line="360" w:lineRule="auto"/>
              <w:rPr>
                <w:rFonts w:hint="eastAsia"/>
              </w:rPr>
            </w:pPr>
            <w:r>
              <w:rPr>
                <w:rFonts w:hint="eastAsia"/>
              </w:rPr>
              <w:t>4.</w:t>
            </w:r>
            <w:r>
              <w:rPr>
                <w:rFonts w:hint="eastAsia"/>
                <w:lang w:eastAsia="zh-CN"/>
              </w:rPr>
              <w:t>报价人</w:t>
            </w:r>
            <w:r>
              <w:rPr>
                <w:rFonts w:hint="eastAsia"/>
              </w:rPr>
              <w:t>须具备校园电控系统“前端硬件+通信网络+系统软件+数据业务”的一体化运维能力，并承诺如下：</w:t>
            </w:r>
          </w:p>
          <w:p w14:paraId="442C8766">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硬件深度运维： 具备智能电控终端、联机电表、电控计量表具、电控网关、数据网关、集中器、交换机等设备的检测、校准、维修与更换能力，配备示波器、万用表、网络测试仪等专业工具。</w:t>
            </w:r>
          </w:p>
          <w:p w14:paraId="454AEFEE">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软件平台保障： 具备电控管理平台、计费系统、远传服务平台的运行保障能力，包括系统日志分析、版本管理、参数配置、数据库维护及故障闭环处理。</w:t>
            </w:r>
          </w:p>
          <w:p w14:paraId="5719FB07">
            <w:pPr>
              <w:spacing w:line="360" w:lineRule="auto"/>
              <w:rPr>
                <w:rFonts w:hint="eastAsia"/>
              </w:rPr>
            </w:pPr>
            <w:r>
              <w:rPr>
                <w:rFonts w:hint="eastAsia"/>
                <w:lang w:eastAsia="zh-CN"/>
              </w:rPr>
              <w:t>（</w:t>
            </w:r>
            <w:r>
              <w:rPr>
                <w:rFonts w:hint="eastAsia"/>
                <w:lang w:val="en-US" w:eastAsia="zh-CN"/>
              </w:rPr>
              <w:t>3</w:t>
            </w:r>
            <w:r>
              <w:rPr>
                <w:rFonts w:hint="eastAsia"/>
                <w:lang w:eastAsia="zh-CN"/>
              </w:rPr>
              <w:t>）</w:t>
            </w:r>
            <w:r>
              <w:rPr>
                <w:rFonts w:hint="eastAsia"/>
              </w:rPr>
              <w:t>软硬协同联调： 熟悉 DL/T 645、Modbus、TCP/IP 等通信协议，能够处理硬件终端与软件平台间的协议匹配、数据丢包、远程关断异常（如防欠费误断）等协同故障。</w:t>
            </w:r>
          </w:p>
          <w:p w14:paraId="22AF39E5">
            <w:pPr>
              <w:spacing w:line="360" w:lineRule="auto"/>
              <w:rPr>
                <w:rFonts w:hint="eastAsia"/>
                <w:lang w:eastAsia="zh-CN"/>
              </w:rPr>
            </w:pPr>
            <w:r>
              <w:rPr>
                <w:rFonts w:hint="eastAsia"/>
                <w:lang w:eastAsia="zh-CN"/>
              </w:rPr>
              <w:t>（</w:t>
            </w:r>
            <w:r>
              <w:rPr>
                <w:rFonts w:hint="eastAsia"/>
                <w:lang w:val="en-US" w:eastAsia="zh-CN"/>
              </w:rPr>
              <w:t>4</w:t>
            </w:r>
            <w:r>
              <w:rPr>
                <w:rFonts w:hint="eastAsia"/>
                <w:lang w:eastAsia="zh-CN"/>
              </w:rPr>
              <w:t>）</w:t>
            </w:r>
            <w:r>
              <w:rPr>
                <w:rFonts w:hint="eastAsia"/>
              </w:rPr>
              <w:t>数据安全： 具备核心业务数据备份与恢复机制，严格执行“核心业务数据零丢失”标准。</w:t>
            </w:r>
            <w:r>
              <w:rPr>
                <w:rFonts w:hint="eastAsia"/>
                <w:lang w:val="en-US" w:eastAsia="zh-CN"/>
              </w:rPr>
              <w:t>具备与项目涉及设备（新开普、常工等品牌）进行通信协议对接和固件升级的技术能力。</w:t>
            </w:r>
          </w:p>
        </w:tc>
        <w:tc>
          <w:tcPr>
            <w:tcW w:w="375" w:type="dxa"/>
            <w:shd w:val="clear" w:color="auto" w:fill="auto"/>
            <w:noWrap/>
          </w:tcPr>
          <w:p w14:paraId="766D8B44">
            <w:pPr>
              <w:widowControl/>
              <w:rPr>
                <w:rFonts w:hint="eastAsia" w:ascii="Arial" w:hAnsi="Arial" w:cs="Arial" w:eastAsiaTheme="minorEastAsia"/>
                <w:kern w:val="0"/>
                <w:szCs w:val="21"/>
                <w:lang w:val="en-US" w:eastAsia="zh-CN"/>
              </w:rPr>
            </w:pPr>
            <w:r>
              <w:rPr>
                <w:rFonts w:hint="eastAsia" w:ascii="Arial" w:hAnsi="Arial" w:cs="Arial"/>
                <w:kern w:val="0"/>
                <w:szCs w:val="21"/>
                <w:lang w:val="en-US" w:eastAsia="zh-CN"/>
              </w:rPr>
              <w:t>1</w:t>
            </w:r>
          </w:p>
        </w:tc>
        <w:tc>
          <w:tcPr>
            <w:tcW w:w="465" w:type="dxa"/>
            <w:shd w:val="clear" w:color="auto" w:fill="auto"/>
            <w:noWrap/>
          </w:tcPr>
          <w:p w14:paraId="64E6022E">
            <w:pPr>
              <w:widowControl/>
              <w:rPr>
                <w:rFonts w:hint="eastAsia" w:ascii="Arial" w:hAnsi="Arial" w:cs="Arial" w:eastAsiaTheme="minorEastAsia"/>
                <w:kern w:val="0"/>
                <w:szCs w:val="21"/>
                <w:lang w:val="en-US" w:eastAsia="zh-CN"/>
              </w:rPr>
            </w:pPr>
            <w:r>
              <w:rPr>
                <w:rFonts w:hint="eastAsia" w:ascii="Arial" w:hAnsi="Arial" w:cs="Arial"/>
                <w:kern w:val="0"/>
                <w:szCs w:val="21"/>
                <w:lang w:val="en-US" w:eastAsia="zh-CN"/>
              </w:rPr>
              <w:t>项</w:t>
            </w:r>
          </w:p>
        </w:tc>
      </w:tr>
      <w:tr w14:paraId="26FB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467" w:type="dxa"/>
            <w:gridSpan w:val="2"/>
            <w:vAlign w:val="center"/>
          </w:tcPr>
          <w:p w14:paraId="6FB1BEA5">
            <w:pPr>
              <w:widowControl/>
              <w:jc w:val="center"/>
              <w:rPr>
                <w:rFonts w:ascii="Arial" w:hAnsi="Arial" w:cs="Arial"/>
                <w:color w:val="auto"/>
                <w:kern w:val="0"/>
                <w:szCs w:val="21"/>
              </w:rPr>
            </w:pPr>
            <w:r>
              <w:rPr>
                <w:rFonts w:ascii="Arial" w:hAnsi="Arial" w:cs="Arial"/>
                <w:color w:val="auto"/>
                <w:kern w:val="0"/>
                <w:szCs w:val="21"/>
              </w:rPr>
              <w:t>商务要求</w:t>
            </w:r>
          </w:p>
        </w:tc>
        <w:tc>
          <w:tcPr>
            <w:tcW w:w="8599" w:type="dxa"/>
            <w:gridSpan w:val="3"/>
            <w:shd w:val="clear" w:color="auto" w:fill="auto"/>
            <w:noWrap/>
          </w:tcPr>
          <w:p w14:paraId="19E1D658">
            <w:pPr>
              <w:spacing w:line="360" w:lineRule="auto"/>
              <w:rPr>
                <w:rFonts w:hint="eastAsia"/>
              </w:rPr>
            </w:pPr>
            <w:r>
              <w:rPr>
                <w:rFonts w:hint="eastAsia"/>
              </w:rPr>
              <w:t>服务交付时间：签订合同之日起</w:t>
            </w:r>
            <w:r>
              <w:rPr>
                <w:rFonts w:hint="eastAsia"/>
                <w:lang w:val="en-US" w:eastAsia="zh-CN"/>
              </w:rPr>
              <w:t>立即开始提供</w:t>
            </w:r>
            <w:r>
              <w:rPr>
                <w:rFonts w:hint="eastAsia"/>
              </w:rPr>
              <w:t>服务内容。</w:t>
            </w:r>
          </w:p>
          <w:p w14:paraId="6B80FA56">
            <w:pPr>
              <w:spacing w:line="360" w:lineRule="auto"/>
              <w:rPr>
                <w:rFonts w:hint="eastAsia"/>
              </w:rPr>
            </w:pPr>
            <w:r>
              <w:rPr>
                <w:rFonts w:hint="eastAsia"/>
              </w:rPr>
              <w:t>服务期</w:t>
            </w:r>
            <w:r>
              <w:rPr>
                <w:rFonts w:hint="eastAsia"/>
                <w:lang w:val="en-US" w:eastAsia="zh-CN"/>
              </w:rPr>
              <w:t>限</w:t>
            </w:r>
            <w:r>
              <w:rPr>
                <w:rFonts w:hint="eastAsia"/>
              </w:rPr>
              <w:t>：自合同签订之日起12个月（壹年）。服务期内，成交</w:t>
            </w:r>
            <w:r>
              <w:rPr>
                <w:rFonts w:hint="eastAsia"/>
                <w:lang w:val="en-US" w:eastAsia="zh-CN"/>
              </w:rPr>
              <w:t>报价人</w:t>
            </w:r>
            <w:r>
              <w:rPr>
                <w:rFonts w:hint="eastAsia"/>
              </w:rPr>
              <w:t>应按采购人要求持续提供电控系统日常巡检、月度保养、季度检修、年度大修检测及故障应急处置等维保服务。</w:t>
            </w:r>
          </w:p>
          <w:p w14:paraId="311BC03F">
            <w:pPr>
              <w:spacing w:line="360" w:lineRule="auto"/>
              <w:rPr>
                <w:rFonts w:hint="eastAsia"/>
                <w:lang w:val="en-US" w:eastAsia="zh-CN"/>
              </w:rPr>
            </w:pPr>
            <w:r>
              <w:rPr>
                <w:rFonts w:hint="eastAsia"/>
              </w:rPr>
              <w:t>2.技术支持和服务</w:t>
            </w:r>
            <w:r>
              <w:rPr>
                <w:rFonts w:hint="eastAsia"/>
                <w:lang w:val="en-US" w:eastAsia="zh-CN"/>
              </w:rPr>
              <w:t>要求</w:t>
            </w:r>
          </w:p>
          <w:p w14:paraId="06FBDB3E">
            <w:pPr>
              <w:spacing w:line="360" w:lineRule="auto"/>
              <w:rPr>
                <w:rFonts w:hint="eastAsia"/>
              </w:rPr>
            </w:pPr>
            <w:r>
              <w:rPr>
                <w:rFonts w:hint="eastAsia"/>
                <w:lang w:val="en-US" w:eastAsia="zh-CN"/>
              </w:rPr>
              <w:t>（1）本</w:t>
            </w:r>
            <w:r>
              <w:rPr>
                <w:rFonts w:hint="eastAsia"/>
              </w:rPr>
              <w:t>项目所提供的全部货物（含硬件、软件及服务）必须完全满足</w:t>
            </w:r>
            <w:r>
              <w:rPr>
                <w:rFonts w:hint="eastAsia"/>
                <w:lang w:val="en-US" w:eastAsia="zh-CN"/>
              </w:rPr>
              <w:t>报价</w:t>
            </w:r>
            <w:r>
              <w:rPr>
                <w:rFonts w:hint="eastAsia"/>
              </w:rPr>
              <w:t>文件所述要求，如中标</w:t>
            </w:r>
            <w:r>
              <w:rPr>
                <w:rFonts w:hint="eastAsia"/>
                <w:lang w:eastAsia="zh-CN"/>
              </w:rPr>
              <w:t>报价人</w:t>
            </w:r>
            <w:r>
              <w:rPr>
                <w:rFonts w:hint="eastAsia"/>
              </w:rPr>
              <w:t>在</w:t>
            </w:r>
            <w:r>
              <w:rPr>
                <w:rFonts w:hint="eastAsia"/>
                <w:lang w:eastAsia="zh-CN"/>
              </w:rPr>
              <w:t>报价</w:t>
            </w:r>
            <w:r>
              <w:rPr>
                <w:rFonts w:hint="eastAsia"/>
              </w:rPr>
              <w:t>文件中有承诺正偏离的应按其正偏离内容执行。</w:t>
            </w:r>
          </w:p>
          <w:p w14:paraId="483B9373">
            <w:pPr>
              <w:spacing w:line="360" w:lineRule="auto"/>
              <w:rPr>
                <w:rFonts w:hint="eastAsia"/>
              </w:rPr>
            </w:pPr>
            <w:r>
              <w:rPr>
                <w:rFonts w:hint="eastAsia"/>
                <w:lang w:val="en-US" w:eastAsia="zh-CN"/>
              </w:rPr>
              <w:t>（2）</w:t>
            </w:r>
            <w:r>
              <w:rPr>
                <w:rFonts w:hint="eastAsia"/>
              </w:rPr>
              <w:t>电话、线上咨询。报价人为采购人提供技术援助，解答采购人在使用中遇到的问题，及时为采购人提出解决问题的方案。提供</w:t>
            </w:r>
            <w:r>
              <w:rPr>
                <w:rFonts w:hint="eastAsia"/>
                <w:lang w:eastAsia="zh-CN"/>
              </w:rPr>
              <w:t>7×24小时</w:t>
            </w:r>
            <w:r>
              <w:rPr>
                <w:rFonts w:hint="eastAsia"/>
              </w:rPr>
              <w:t>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65C4418D">
            <w:pPr>
              <w:spacing w:line="360" w:lineRule="auto"/>
              <w:rPr>
                <w:rFonts w:hint="eastAsia"/>
              </w:rPr>
            </w:pPr>
            <w:r>
              <w:rPr>
                <w:rFonts w:hint="eastAsia"/>
                <w:lang w:eastAsia="zh-CN"/>
              </w:rPr>
              <w:t>（</w:t>
            </w:r>
            <w:r>
              <w:rPr>
                <w:rFonts w:hint="eastAsia"/>
                <w:lang w:val="en-US" w:eastAsia="zh-CN"/>
              </w:rPr>
              <w:t>3</w:t>
            </w:r>
            <w:r>
              <w:rPr>
                <w:rFonts w:hint="eastAsia"/>
                <w:lang w:eastAsia="zh-CN"/>
              </w:rPr>
              <w:t>）</w:t>
            </w:r>
            <w:r>
              <w:rPr>
                <w:rFonts w:hint="eastAsia"/>
              </w:rPr>
              <w:t>本项目</w:t>
            </w:r>
            <w:r>
              <w:rPr>
                <w:rFonts w:hint="eastAsia"/>
                <w:lang w:val="en-US" w:eastAsia="zh-CN"/>
              </w:rPr>
              <w:t>如有</w:t>
            </w:r>
            <w:r>
              <w:rPr>
                <w:rFonts w:hint="eastAsia"/>
              </w:rPr>
              <w:t>软件（</w:t>
            </w:r>
            <w:r>
              <w:rPr>
                <w:rFonts w:hint="eastAsia"/>
                <w:lang w:val="en-US" w:eastAsia="zh-CN"/>
              </w:rPr>
              <w:t>不包括随机出厂预装</w:t>
            </w:r>
            <w:r>
              <w:rPr>
                <w:rFonts w:hint="eastAsia"/>
              </w:rPr>
              <w:t>）</w:t>
            </w:r>
            <w:r>
              <w:rPr>
                <w:rFonts w:hint="eastAsia"/>
                <w:lang w:eastAsia="zh-CN"/>
              </w:rPr>
              <w:t>，除</w:t>
            </w:r>
            <w:r>
              <w:rPr>
                <w:rFonts w:hint="eastAsia"/>
                <w:lang w:val="en-US" w:eastAsia="zh-CN"/>
              </w:rPr>
              <w:t>安装在采购人本地服务器（计算机）上，还必须一式两份，用U盘或移动硬盘（接口USB3.0以上，质保期不低于三年）将软件安装包、软件使用说明书、技术文档、软件常规操作录屏分目录存放，验收前一并交付给采购人。</w:t>
            </w:r>
            <w:r>
              <w:rPr>
                <w:rFonts w:hint="eastAsia"/>
              </w:rPr>
              <w:t>在本项目合同约定的质保期过后，</w:t>
            </w:r>
            <w:r>
              <w:rPr>
                <w:rFonts w:hint="eastAsia"/>
                <w:lang w:val="en-US" w:eastAsia="zh-CN"/>
              </w:rPr>
              <w:t>中标</w:t>
            </w:r>
            <w:r>
              <w:rPr>
                <w:rFonts w:hint="eastAsia"/>
                <w:lang w:eastAsia="zh-CN"/>
              </w:rPr>
              <w:t>报价人</w:t>
            </w:r>
            <w:r>
              <w:rPr>
                <w:rFonts w:hint="eastAsia"/>
              </w:rPr>
              <w:t>需确保该软件</w:t>
            </w:r>
            <w:r>
              <w:rPr>
                <w:rFonts w:hint="eastAsia"/>
                <w:lang w:eastAsia="zh-CN"/>
              </w:rPr>
              <w:t>的</w:t>
            </w:r>
            <w:r>
              <w:rPr>
                <w:rFonts w:hint="eastAsia"/>
              </w:rPr>
              <w:t>功能仍与交付验收时一致</w:t>
            </w:r>
            <w:r>
              <w:rPr>
                <w:rFonts w:hint="eastAsia"/>
                <w:lang w:eastAsia="zh-CN"/>
              </w:rPr>
              <w:t>，不</w:t>
            </w:r>
            <w:r>
              <w:rPr>
                <w:rFonts w:hint="eastAsia"/>
              </w:rPr>
              <w:t>受限制</w:t>
            </w:r>
            <w:r>
              <w:rPr>
                <w:rFonts w:hint="eastAsia"/>
                <w:lang w:val="en-US" w:eastAsia="zh-CN"/>
              </w:rPr>
              <w:t>或减少</w:t>
            </w:r>
            <w:r>
              <w:rPr>
                <w:rFonts w:hint="eastAsia"/>
              </w:rPr>
              <w:t>（如合同另有约定的按合同约定）</w:t>
            </w:r>
            <w:r>
              <w:rPr>
                <w:rFonts w:hint="eastAsia"/>
                <w:lang w:eastAsia="zh-CN"/>
              </w:rPr>
              <w:t>。</w:t>
            </w:r>
            <w:r>
              <w:rPr>
                <w:rFonts w:hint="eastAsia"/>
              </w:rPr>
              <w:t>质保期过后</w:t>
            </w:r>
            <w:r>
              <w:rPr>
                <w:rFonts w:hint="eastAsia"/>
                <w:lang w:eastAsia="zh-CN"/>
              </w:rPr>
              <w:t>，如</w:t>
            </w:r>
            <w:r>
              <w:rPr>
                <w:rFonts w:hint="eastAsia"/>
              </w:rPr>
              <w:t>需对软件进行升级或售后服务</w:t>
            </w:r>
            <w:r>
              <w:rPr>
                <w:rFonts w:hint="eastAsia"/>
                <w:lang w:eastAsia="zh-CN"/>
              </w:rPr>
              <w:t>，双方</w:t>
            </w:r>
            <w:r>
              <w:rPr>
                <w:rFonts w:hint="eastAsia"/>
              </w:rPr>
              <w:t>再行协商。</w:t>
            </w:r>
          </w:p>
          <w:p w14:paraId="32BF65ED">
            <w:pPr>
              <w:spacing w:line="360" w:lineRule="auto"/>
              <w:rPr>
                <w:rFonts w:hint="eastAsia"/>
                <w:lang w:val="en-US" w:eastAsia="zh-CN"/>
              </w:rPr>
            </w:pPr>
            <w:r>
              <w:rPr>
                <w:rFonts w:hint="eastAsia"/>
                <w:lang w:eastAsia="zh-CN"/>
              </w:rPr>
              <w:t>（</w:t>
            </w:r>
            <w:r>
              <w:rPr>
                <w:rFonts w:hint="eastAsia"/>
                <w:lang w:val="en-US" w:eastAsia="zh-CN"/>
              </w:rPr>
              <w:t>4</w:t>
            </w:r>
            <w:r>
              <w:rPr>
                <w:rFonts w:hint="eastAsia"/>
                <w:lang w:eastAsia="zh-CN"/>
              </w:rPr>
              <w:t>）</w:t>
            </w:r>
            <w:r>
              <w:rPr>
                <w:rFonts w:hint="eastAsia"/>
              </w:rPr>
              <w:t>本项目所含软件（如有）必须为符合采购人适用范围的正版软件（非试用版），</w:t>
            </w:r>
            <w:r>
              <w:rPr>
                <w:rFonts w:hint="eastAsia"/>
                <w:lang w:eastAsia="zh-CN"/>
              </w:rPr>
              <w:t>且</w:t>
            </w:r>
            <w:r>
              <w:rPr>
                <w:rFonts w:hint="eastAsia"/>
                <w:lang w:val="en-US" w:eastAsia="zh-CN"/>
              </w:rPr>
              <w:t>根据网络安全法及信息系统等级保护的相关规定，在正式验收前必须经采购人网信部门进行安全扫描，扫描合格后方能进行正式部署及正式验收。若中标报价人对扫描结果有异议，可委托双方认可的具备相关资质第三方检测机构进行检测，相关费用由中标报价人承担。</w:t>
            </w:r>
          </w:p>
          <w:p w14:paraId="4AF3A3E6">
            <w:pPr>
              <w:spacing w:line="360" w:lineRule="auto"/>
              <w:rPr>
                <w:rFonts w:hint="eastAsia"/>
                <w:lang w:val="en-US" w:eastAsia="zh-CN"/>
              </w:rPr>
            </w:pPr>
            <w:r>
              <w:rPr>
                <w:rFonts w:hint="eastAsia"/>
                <w:lang w:val="en-US" w:eastAsia="zh-CN"/>
              </w:rPr>
              <w:t>3.知识产权</w:t>
            </w:r>
          </w:p>
          <w:p w14:paraId="66DF4661">
            <w:pPr>
              <w:spacing w:line="360" w:lineRule="auto"/>
              <w:rPr>
                <w:rFonts w:hint="eastAsia"/>
              </w:rPr>
            </w:pPr>
            <w:r>
              <w:rPr>
                <w:rFonts w:hint="eastAsia"/>
                <w:lang w:eastAsia="zh-CN"/>
              </w:rPr>
              <w:t>（</w:t>
            </w:r>
            <w:r>
              <w:rPr>
                <w:rFonts w:hint="eastAsia"/>
                <w:lang w:val="en-US" w:eastAsia="zh-CN"/>
              </w:rPr>
              <w:t>1</w:t>
            </w:r>
            <w:r>
              <w:rPr>
                <w:rFonts w:hint="eastAsia"/>
                <w:lang w:eastAsia="zh-CN"/>
              </w:rPr>
              <w:t>）</w:t>
            </w:r>
            <w:r>
              <w:rPr>
                <w:rFonts w:hint="eastAsia"/>
              </w:rPr>
              <w:t>本项目在交付时，所有涉及本项目的数据成果、资源、资料</w:t>
            </w:r>
            <w:r>
              <w:rPr>
                <w:rFonts w:hint="eastAsia"/>
                <w:lang w:eastAsia="zh-CN"/>
              </w:rPr>
              <w:t>的</w:t>
            </w:r>
            <w:r>
              <w:rPr>
                <w:rFonts w:hint="eastAsia"/>
              </w:rPr>
              <w:t>产权归属采购人。报价人未经采购人同意，不得以任何方式向第三方披露、转让和销售有关的技术成果、技术诀窍、秘密信息、技术资料和文件。除本项目工作需要之外，未得到甲方的书面许可，报价人不得以任何方式商业性地利用上述资料和技术。</w:t>
            </w:r>
          </w:p>
          <w:p w14:paraId="1DDEA50F">
            <w:pPr>
              <w:spacing w:line="360" w:lineRule="auto"/>
              <w:rPr>
                <w:rFonts w:hint="eastAsia"/>
              </w:rPr>
            </w:pPr>
            <w:r>
              <w:rPr>
                <w:rFonts w:hint="eastAsia"/>
                <w:lang w:eastAsia="zh-CN"/>
              </w:rPr>
              <w:t>（</w:t>
            </w:r>
            <w:r>
              <w:rPr>
                <w:rFonts w:hint="eastAsia"/>
                <w:lang w:val="en-US" w:eastAsia="zh-CN"/>
              </w:rPr>
              <w:t>2</w:t>
            </w:r>
            <w:r>
              <w:rPr>
                <w:rFonts w:hint="eastAsia"/>
                <w:lang w:eastAsia="zh-CN"/>
              </w:rPr>
              <w:t>）</w:t>
            </w:r>
            <w:r>
              <w:rPr>
                <w:rFonts w:hint="eastAsia"/>
              </w:rPr>
              <w:t>报价人因未经授权而实施的商业性复制行为</w:t>
            </w:r>
            <w:r>
              <w:rPr>
                <w:rFonts w:hint="eastAsia"/>
                <w:lang w:eastAsia="zh-CN"/>
              </w:rPr>
              <w:t>造成</w:t>
            </w:r>
            <w:r>
              <w:rPr>
                <w:rFonts w:hint="eastAsia"/>
              </w:rPr>
              <w:t>违约或侵权责任</w:t>
            </w:r>
            <w:r>
              <w:rPr>
                <w:rFonts w:hint="eastAsia"/>
                <w:lang w:eastAsia="zh-CN"/>
              </w:rPr>
              <w:t>，给</w:t>
            </w:r>
            <w:r>
              <w:rPr>
                <w:rFonts w:hint="eastAsia"/>
              </w:rPr>
              <w:t>采购人</w:t>
            </w:r>
            <w:r>
              <w:rPr>
                <w:rFonts w:hint="eastAsia"/>
                <w:lang w:eastAsia="zh-CN"/>
              </w:rPr>
              <w:t>造成损失</w:t>
            </w:r>
            <w:r>
              <w:rPr>
                <w:rFonts w:hint="eastAsia"/>
              </w:rPr>
              <w:t>的，由其承</w:t>
            </w:r>
            <w:r>
              <w:rPr>
                <w:rFonts w:hint="eastAsia"/>
                <w:lang w:val="en-US" w:eastAsia="zh-CN"/>
              </w:rPr>
              <w:t>担</w:t>
            </w:r>
            <w:r>
              <w:rPr>
                <w:rFonts w:hint="eastAsia"/>
              </w:rPr>
              <w:t>相关责任并赔偿采购人经济损失。</w:t>
            </w:r>
          </w:p>
          <w:p w14:paraId="5C7B3E89">
            <w:pPr>
              <w:spacing w:line="360" w:lineRule="auto"/>
              <w:rPr>
                <w:rFonts w:hint="eastAsia"/>
              </w:rPr>
            </w:pPr>
            <w:r>
              <w:rPr>
                <w:rFonts w:hint="eastAsia"/>
                <w:lang w:eastAsia="zh-CN"/>
              </w:rPr>
              <w:t>（</w:t>
            </w:r>
            <w:r>
              <w:rPr>
                <w:rFonts w:hint="eastAsia"/>
                <w:lang w:val="en-US" w:eastAsia="zh-CN"/>
              </w:rPr>
              <w:t>3</w:t>
            </w:r>
            <w:r>
              <w:rPr>
                <w:rFonts w:hint="eastAsia"/>
                <w:lang w:eastAsia="zh-CN"/>
              </w:rPr>
              <w:t>）</w:t>
            </w:r>
            <w:r>
              <w:rPr>
                <w:rFonts w:hint="eastAsia"/>
              </w:rPr>
              <w:t>中标</w:t>
            </w:r>
            <w:r>
              <w:rPr>
                <w:rFonts w:hint="eastAsia"/>
                <w:lang w:eastAsia="zh-CN"/>
              </w:rPr>
              <w:t>报价人</w:t>
            </w:r>
            <w:r>
              <w:rPr>
                <w:rFonts w:hint="eastAsia"/>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lang w:eastAsia="zh-CN"/>
              </w:rPr>
              <w:t>报价</w:t>
            </w:r>
            <w:r>
              <w:rPr>
                <w:rFonts w:hint="eastAsia"/>
              </w:rPr>
              <w:t>人承担。</w:t>
            </w:r>
          </w:p>
          <w:p w14:paraId="7E36845A">
            <w:pPr>
              <w:spacing w:line="360" w:lineRule="auto"/>
              <w:rPr>
                <w:rFonts w:hint="eastAsia"/>
                <w:lang w:val="en-US" w:eastAsia="zh-CN"/>
              </w:rPr>
            </w:pPr>
            <w:r>
              <w:rPr>
                <w:rFonts w:hint="eastAsia"/>
                <w:lang w:val="en-US" w:eastAsia="zh-CN"/>
              </w:rPr>
              <w:t>4.</w:t>
            </w:r>
            <w:r>
              <w:rPr>
                <w:rFonts w:hint="eastAsia"/>
              </w:rPr>
              <w:t>付款</w:t>
            </w:r>
            <w:r>
              <w:rPr>
                <w:rFonts w:hint="eastAsia"/>
                <w:lang w:val="en-US" w:eastAsia="zh-CN"/>
              </w:rPr>
              <w:t>要求</w:t>
            </w:r>
          </w:p>
          <w:p w14:paraId="176294E1">
            <w:pPr>
              <w:spacing w:line="360" w:lineRule="auto"/>
              <w:rPr>
                <w:rFonts w:hint="eastAsia"/>
              </w:rPr>
            </w:pPr>
            <w:r>
              <w:rPr>
                <w:rFonts w:hint="eastAsia"/>
              </w:rPr>
              <w:t xml:space="preserve">本项目无预付款，合同中所有货物全部安装调试完毕验收合格交付给采购人使用后，被选中的报价人开具全额增值税专用发票给采购人，采购人收到发票后 </w:t>
            </w:r>
            <w:r>
              <w:rPr>
                <w:rFonts w:hint="eastAsia"/>
                <w:lang w:val="en-US" w:eastAsia="zh-CN"/>
              </w:rPr>
              <w:t>20</w:t>
            </w:r>
            <w:r>
              <w:rPr>
                <w:rFonts w:hint="eastAsia"/>
              </w:rPr>
              <w:t xml:space="preserve"> 个工作日内办理支付手续。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协商。</w:t>
            </w:r>
          </w:p>
          <w:p w14:paraId="56684F62">
            <w:pPr>
              <w:spacing w:line="360" w:lineRule="auto"/>
              <w:rPr>
                <w:rFonts w:hint="eastAsia"/>
              </w:rPr>
            </w:pPr>
            <w:r>
              <w:rPr>
                <w:rFonts w:hint="eastAsia"/>
                <w:lang w:val="en-US" w:eastAsia="zh-CN"/>
              </w:rPr>
              <w:t>5.</w:t>
            </w:r>
            <w:r>
              <w:rPr>
                <w:rFonts w:hint="eastAsia"/>
              </w:rPr>
              <w:t>履约保证金</w:t>
            </w:r>
          </w:p>
          <w:p w14:paraId="1BE1A750">
            <w:pPr>
              <w:spacing w:line="360" w:lineRule="auto"/>
              <w:rPr>
                <w:rFonts w:hint="eastAsia"/>
              </w:rPr>
            </w:pPr>
            <w:r>
              <w:rPr>
                <w:rFonts w:hint="eastAsia"/>
              </w:rPr>
              <w:t>合同签订前2日内，以银行转账、支票、汇票、本票或者银行、保险机构出具的保函、保险等非现金方式提交履约保证金。履约保证金金额按本项目合同金额的5%收取，履约保证金不足额缴纳的，或银行、保险机构出具的保函、保险额度不足的或者保函、保险有效期低于合同履行期限（即签订采购合同之日起至履行完合同约定的权利及义务之日止）的，不予签订合同。如报价人未能按合同约定履行合同，采购人有权没收全部履约保证金，并按合同相关条款追究其责任。采购人在验收合格交付使用之日起30日内退还履约保证金（不计息）。</w:t>
            </w:r>
          </w:p>
          <w:p w14:paraId="132AF815">
            <w:pPr>
              <w:spacing w:line="360" w:lineRule="auto"/>
              <w:rPr>
                <w:rFonts w:hint="eastAsia"/>
              </w:rPr>
            </w:pPr>
            <w:r>
              <w:rPr>
                <w:rFonts w:hint="eastAsia"/>
              </w:rPr>
              <w:t>履约保证金账户：</w:t>
            </w:r>
          </w:p>
          <w:p w14:paraId="408F29C6">
            <w:pPr>
              <w:spacing w:line="360" w:lineRule="auto"/>
              <w:rPr>
                <w:rFonts w:hint="eastAsia"/>
              </w:rPr>
            </w:pPr>
            <w:r>
              <w:rPr>
                <w:rFonts w:hint="eastAsia"/>
              </w:rPr>
              <w:t>名  称：柳州职业技术大学</w:t>
            </w:r>
          </w:p>
          <w:p w14:paraId="0CFE26CA">
            <w:pPr>
              <w:spacing w:line="360" w:lineRule="auto"/>
              <w:rPr>
                <w:rFonts w:hint="eastAsia"/>
              </w:rPr>
            </w:pPr>
            <w:r>
              <w:rPr>
                <w:rFonts w:hint="eastAsia"/>
              </w:rPr>
              <w:t>开户行：交通银行西江支行</w:t>
            </w:r>
            <w:bookmarkStart w:id="52" w:name="_GoBack"/>
            <w:bookmarkEnd w:id="52"/>
          </w:p>
          <w:p w14:paraId="567A8778">
            <w:pPr>
              <w:spacing w:line="360" w:lineRule="auto"/>
              <w:rPr>
                <w:rFonts w:hint="eastAsia"/>
              </w:rPr>
            </w:pPr>
            <w:r>
              <w:rPr>
                <w:rFonts w:hint="eastAsia"/>
              </w:rPr>
              <w:t>账  号：452060600018120020185</w:t>
            </w:r>
          </w:p>
          <w:p w14:paraId="3CBF74F1">
            <w:pPr>
              <w:spacing w:line="360" w:lineRule="auto"/>
              <w:rPr>
                <w:rFonts w:hint="eastAsia"/>
              </w:rPr>
            </w:pPr>
            <w:r>
              <w:rPr>
                <w:rFonts w:hint="eastAsia"/>
              </w:rPr>
              <w:t>转账时注明：2026—2027年</w:t>
            </w:r>
            <w:r>
              <w:rPr>
                <w:rFonts w:hint="eastAsia"/>
                <w:lang w:val="en-US" w:eastAsia="zh-CN"/>
              </w:rPr>
              <w:t>学校</w:t>
            </w:r>
            <w:r>
              <w:rPr>
                <w:rFonts w:hint="eastAsia"/>
              </w:rPr>
              <w:t>电控系统维保服务</w:t>
            </w:r>
            <w:r>
              <w:rPr>
                <w:rFonts w:hint="eastAsia"/>
                <w:lang w:val="en-US" w:eastAsia="zh-CN"/>
              </w:rPr>
              <w:t>采购</w:t>
            </w:r>
            <w:r>
              <w:rPr>
                <w:rFonts w:hint="eastAsia"/>
              </w:rPr>
              <w:t>项目，采购编号</w:t>
            </w:r>
            <w:r>
              <w:rPr>
                <w:rFonts w:hint="eastAsia"/>
                <w:b/>
                <w:bCs/>
                <w:color w:val="auto"/>
                <w:lang w:val="en-US" w:eastAsia="zh-CN"/>
              </w:rPr>
              <w:t>LZPU2026-36</w:t>
            </w:r>
            <w:r>
              <w:rPr>
                <w:rFonts w:hint="eastAsia"/>
                <w:b/>
                <w:bCs/>
                <w:color w:val="auto"/>
              </w:rPr>
              <w:t xml:space="preserve"> </w:t>
            </w:r>
            <w:r>
              <w:rPr>
                <w:rFonts w:hint="eastAsia"/>
                <w:color w:val="auto"/>
              </w:rPr>
              <w:t>履</w:t>
            </w:r>
            <w:r>
              <w:rPr>
                <w:rFonts w:hint="eastAsia"/>
              </w:rPr>
              <w:t>约保证金电汇、转账的</w:t>
            </w:r>
            <w:r>
              <w:rPr>
                <w:rFonts w:hint="eastAsia"/>
                <w:lang w:eastAsia="zh-CN"/>
              </w:rPr>
              <w:t>，持</w:t>
            </w:r>
            <w:r>
              <w:rPr>
                <w:rFonts w:hint="eastAsia"/>
              </w:rPr>
              <w:t>银行回执复印件（非电汇、转账的</w:t>
            </w:r>
            <w:r>
              <w:rPr>
                <w:rFonts w:hint="eastAsia"/>
                <w:lang w:eastAsia="zh-CN"/>
              </w:rPr>
              <w:t>，出具</w:t>
            </w:r>
            <w:r>
              <w:rPr>
                <w:rFonts w:hint="eastAsia"/>
              </w:rPr>
              <w:t>其他保证金递交证明文件）</w:t>
            </w:r>
            <w:r>
              <w:rPr>
                <w:rFonts w:hint="eastAsia"/>
                <w:lang w:eastAsia="zh-CN"/>
              </w:rPr>
              <w:t>，携带</w:t>
            </w:r>
            <w:r>
              <w:rPr>
                <w:rFonts w:hint="eastAsia"/>
              </w:rPr>
              <w:t>中标（成交）通知书（确认书）及合同到柳州职业技术大学签署合同。</w:t>
            </w:r>
          </w:p>
          <w:p w14:paraId="1B6825B9">
            <w:pPr>
              <w:spacing w:line="360" w:lineRule="auto"/>
              <w:rPr>
                <w:rFonts w:hint="eastAsia"/>
                <w:lang w:val="en-US" w:eastAsia="zh-CN"/>
              </w:rPr>
            </w:pPr>
            <w:r>
              <w:rPr>
                <w:rFonts w:hint="eastAsia"/>
                <w:lang w:val="en-US" w:eastAsia="zh-CN"/>
              </w:rPr>
              <w:t>6.验收要求</w:t>
            </w:r>
          </w:p>
          <w:p w14:paraId="5CB4ACEA">
            <w:pPr>
              <w:spacing w:line="360" w:lineRule="auto"/>
              <w:rPr>
                <w:rFonts w:hint="eastAsia"/>
                <w:lang w:val="en-US" w:eastAsia="zh-CN"/>
              </w:rPr>
            </w:pPr>
            <w:r>
              <w:rPr>
                <w:rFonts w:hint="eastAsia"/>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适用：①符合中华人民共和国国家安全质量标准、环保标准或行业标准；②符合采购文件和应标文件承诺中采购人认可的合理最佳配置、参数及各项要求；③货物符合国家官方合格标准。</w:t>
            </w:r>
          </w:p>
          <w:p w14:paraId="7A91FB9C">
            <w:pPr>
              <w:spacing w:line="360" w:lineRule="auto"/>
              <w:rPr>
                <w:rFonts w:hint="eastAsia"/>
                <w:lang w:val="en-US" w:eastAsia="zh-CN"/>
              </w:rPr>
            </w:pPr>
            <w:r>
              <w:rPr>
                <w:rFonts w:hint="eastAsia"/>
                <w:lang w:val="en-US" w:eastAsia="zh-CN"/>
              </w:rPr>
              <w:t>（2）中标报价人须确保货物为原制造商制造（或原厂组装）的全新产品，无侵权行为、表面无划损、无任何缺陷隐患，在中国境内可依常规安全合法使用。</w:t>
            </w:r>
          </w:p>
          <w:p w14:paraId="3BC60A87">
            <w:pPr>
              <w:spacing w:line="360" w:lineRule="auto"/>
              <w:rPr>
                <w:rFonts w:hint="eastAsia"/>
                <w:lang w:val="en-US" w:eastAsia="zh-CN"/>
              </w:rPr>
            </w:pPr>
            <w:r>
              <w:rPr>
                <w:rFonts w:hint="eastAsia"/>
                <w:lang w:val="en-US" w:eastAsia="zh-CN"/>
              </w:rPr>
              <w:t>（3）供货时，中标报价人应将关键货物的用户手册、保修手册、有关单证资料及配件等交付给采购人，使用操作及安全须知等重要资料应附有中文说明。</w:t>
            </w:r>
          </w:p>
          <w:p w14:paraId="40831A56">
            <w:pPr>
              <w:spacing w:line="360" w:lineRule="auto"/>
              <w:rPr>
                <w:rFonts w:hint="eastAsia"/>
                <w:lang w:val="en-US" w:eastAsia="zh-CN"/>
              </w:rPr>
            </w:pPr>
            <w:r>
              <w:rPr>
                <w:rFonts w:hint="eastAsia"/>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6D6EF5FE">
            <w:pPr>
              <w:spacing w:line="360" w:lineRule="auto"/>
              <w:rPr>
                <w:rFonts w:hint="eastAsia"/>
                <w:lang w:val="en-US" w:eastAsia="zh-CN"/>
              </w:rPr>
            </w:pPr>
            <w:r>
              <w:rPr>
                <w:rFonts w:hint="eastAsia"/>
                <w:lang w:val="en-US" w:eastAsia="zh-CN"/>
              </w:rPr>
              <w:t>（5）中标报价人必须依照采购文件的要求和应标文件的承诺，将设备、系统安装并调试至正常运行的最佳状态，并完成采购人的人员培训方可申请采购人正式验收。</w:t>
            </w:r>
          </w:p>
          <w:p w14:paraId="6FECFF96">
            <w:pPr>
              <w:spacing w:line="360" w:lineRule="auto"/>
              <w:rPr>
                <w:rFonts w:hint="eastAsia"/>
                <w:lang w:val="en-US" w:eastAsia="zh-CN"/>
              </w:rPr>
            </w:pPr>
            <w:r>
              <w:rPr>
                <w:rFonts w:hint="eastAsia"/>
                <w:lang w:val="en-US" w:eastAsia="zh-CN"/>
              </w:rPr>
              <w:t>（6）采购人有权委托第三方进行履约验收，履约验收费用（含运行耗材、验收专家费等全部费用）由中标报价人支付。报价人在报价时自行考虑。</w:t>
            </w:r>
          </w:p>
          <w:p w14:paraId="14236056">
            <w:pPr>
              <w:spacing w:line="360" w:lineRule="auto"/>
              <w:rPr>
                <w:rFonts w:hint="eastAsia"/>
                <w:lang w:val="en-US" w:eastAsia="zh-CN"/>
              </w:rPr>
            </w:pPr>
            <w:r>
              <w:rPr>
                <w:rFonts w:hint="eastAsia"/>
                <w:lang w:val="en-US" w:eastAsia="zh-CN"/>
              </w:rPr>
              <w:t>（7）中标报价人</w:t>
            </w:r>
            <w:r>
              <w:rPr>
                <w:rFonts w:hint="eastAsia"/>
              </w:rPr>
              <w:t>完成安装调试后，采购人可以进行累计运行时间不超过72小时的试运行，以确认所供货物（含硬件、软件及服务）功能参数、兼容性及稳定性符合标准达到初验条件，在试运行期间出现问题</w:t>
            </w:r>
            <w:r>
              <w:rPr>
                <w:rFonts w:hint="eastAsia"/>
                <w:lang w:eastAsia="zh-CN"/>
              </w:rPr>
              <w:t>，中标</w:t>
            </w:r>
            <w:r>
              <w:rPr>
                <w:rFonts w:hint="eastAsia"/>
                <w:lang w:val="en-US" w:eastAsia="zh-CN"/>
              </w:rPr>
              <w:t>报价人</w:t>
            </w:r>
            <w:r>
              <w:rPr>
                <w:rFonts w:hint="eastAsia"/>
              </w:rPr>
              <w:t>应在接到采购人书面反馈后三日内解决，在解决问题前此项目仍视为尚未完成安装调试。如造成最终验收合格交付时间超过合同约定</w:t>
            </w:r>
            <w:r>
              <w:rPr>
                <w:rFonts w:hint="eastAsia"/>
                <w:lang w:eastAsia="zh-CN"/>
              </w:rPr>
              <w:t>，</w:t>
            </w:r>
            <w:r>
              <w:rPr>
                <w:rFonts w:hint="eastAsia"/>
              </w:rPr>
              <w:t>按合同相关条款执行。</w:t>
            </w:r>
          </w:p>
          <w:p w14:paraId="74BDA0D8">
            <w:pPr>
              <w:spacing w:line="360" w:lineRule="auto"/>
              <w:rPr>
                <w:rFonts w:hint="eastAsia"/>
                <w:lang w:val="en-US" w:eastAsia="zh-CN"/>
              </w:rPr>
            </w:pPr>
            <w:r>
              <w:rPr>
                <w:rFonts w:hint="eastAsia"/>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006364C9">
      <w:pPr>
        <w:widowControl/>
        <w:adjustRightInd w:val="0"/>
        <w:snapToGrid w:val="0"/>
        <w:spacing w:line="520" w:lineRule="exact"/>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四、报价人须知：（以下要求报价供应商必须满足</w:t>
      </w:r>
      <w:r>
        <w:rPr>
          <w:rFonts w:hint="eastAsia" w:ascii="宋体" w:hAnsi="宋体" w:eastAsia="宋体" w:cs="宋体"/>
          <w:color w:val="000000"/>
          <w:kern w:val="0"/>
          <w:sz w:val="21"/>
          <w:szCs w:val="21"/>
          <w:lang w:eastAsia="zh-CN"/>
        </w:rPr>
        <w:t>，否则</w:t>
      </w:r>
      <w:r>
        <w:rPr>
          <w:rFonts w:hint="eastAsia" w:ascii="宋体" w:hAnsi="宋体" w:eastAsia="宋体" w:cs="宋体"/>
          <w:color w:val="000000"/>
          <w:kern w:val="0"/>
          <w:sz w:val="21"/>
          <w:szCs w:val="21"/>
        </w:rPr>
        <w:t>视为无效）</w:t>
      </w:r>
    </w:p>
    <w:p w14:paraId="09F0FED6">
      <w:pPr>
        <w:widowControl/>
        <w:adjustRightInd w:val="0"/>
        <w:snapToGrid w:val="0"/>
        <w:spacing w:line="520" w:lineRule="exact"/>
        <w:jc w:val="left"/>
        <w:rPr>
          <w:rFonts w:hint="eastAsia" w:ascii="宋体" w:hAnsi="宋体" w:eastAsia="宋体" w:cs="宋体"/>
          <w:b/>
          <w:color w:val="auto"/>
          <w:sz w:val="21"/>
          <w:szCs w:val="21"/>
          <w:highlight w:val="none"/>
        </w:rPr>
      </w:pPr>
      <w:r>
        <w:rPr>
          <w:rFonts w:hint="eastAsia" w:ascii="宋体" w:hAnsi="宋体" w:eastAsia="宋体" w:cs="宋体"/>
          <w:kern w:val="0"/>
          <w:sz w:val="21"/>
          <w:szCs w:val="21"/>
        </w:rPr>
        <w:t>1.</w:t>
      </w:r>
      <w:r>
        <w:rPr>
          <w:rFonts w:hint="eastAsia" w:ascii="宋体" w:hAnsi="宋体" w:eastAsia="宋体" w:cs="宋体"/>
          <w:sz w:val="21"/>
          <w:szCs w:val="21"/>
        </w:rPr>
        <w:t xml:space="preserve"> </w:t>
      </w:r>
      <w:r>
        <w:rPr>
          <w:rFonts w:hint="eastAsia" w:ascii="宋体" w:hAnsi="宋体" w:eastAsia="宋体" w:cs="宋体"/>
          <w:b/>
          <w:color w:val="auto"/>
          <w:sz w:val="21"/>
          <w:szCs w:val="21"/>
          <w:highlight w:val="none"/>
        </w:rPr>
        <w:t>资格证明文件</w:t>
      </w:r>
    </w:p>
    <w:p w14:paraId="7CB6D7B6">
      <w:pPr>
        <w:widowControl/>
        <w:adjustRightInd w:val="0"/>
        <w:snapToGrid w:val="0"/>
        <w:spacing w:line="520" w:lineRule="exact"/>
        <w:jc w:val="left"/>
        <w:rPr>
          <w:rFonts w:hint="eastAsia" w:ascii="宋体" w:hAnsi="宋体" w:eastAsia="宋体" w:cs="宋体"/>
          <w:color w:val="auto"/>
          <w:sz w:val="21"/>
          <w:szCs w:val="21"/>
          <w:highlight w:val="none"/>
        </w:rPr>
      </w:pP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国内注册（指按国家工商管理有关规定要求注册的），具有合法的主体资格证明复印件（如营业执照、事业单位法人证书、个体工商户营业执照）的</w:t>
      </w:r>
      <w:r>
        <w:rPr>
          <w:rFonts w:hint="eastAsia" w:ascii="宋体" w:hAnsi="宋体" w:eastAsia="宋体" w:cs="宋体"/>
          <w:kern w:val="0"/>
          <w:sz w:val="21"/>
          <w:szCs w:val="21"/>
          <w:lang w:val="en-US" w:eastAsia="zh-CN"/>
        </w:rPr>
        <w:t>报价人；</w:t>
      </w:r>
      <w:r>
        <w:rPr>
          <w:rFonts w:hint="eastAsia" w:ascii="宋体" w:hAnsi="宋体" w:eastAsia="宋体" w:cs="宋体"/>
          <w:color w:val="auto"/>
          <w:sz w:val="21"/>
          <w:szCs w:val="21"/>
          <w:highlight w:val="none"/>
        </w:rPr>
        <w:t>（</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583DDA09">
      <w:pPr>
        <w:widowControl/>
        <w:adjustRightInd w:val="0"/>
        <w:snapToGrid w:val="0"/>
        <w:spacing w:line="520" w:lineRule="exact"/>
        <w:jc w:val="left"/>
        <w:rPr>
          <w:rFonts w:hint="eastAsia" w:ascii="宋体" w:hAnsi="宋体" w:eastAsia="宋体" w:cs="宋体"/>
          <w:kern w:val="0"/>
          <w:sz w:val="21"/>
          <w:szCs w:val="21"/>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声明（格式后附）；（</w:t>
      </w:r>
      <w:r>
        <w:rPr>
          <w:rFonts w:hint="eastAsia" w:ascii="宋体" w:hAnsi="宋体" w:eastAsia="宋体" w:cs="宋体"/>
          <w:b/>
          <w:color w:val="auto"/>
          <w:sz w:val="21"/>
          <w:szCs w:val="21"/>
          <w:highlight w:val="none"/>
        </w:rPr>
        <w:t>必须提供，否则响应文件按无效响应处理</w:t>
      </w:r>
      <w:r>
        <w:rPr>
          <w:rFonts w:hint="eastAsia" w:ascii="宋体" w:hAnsi="宋体" w:eastAsia="宋体" w:cs="宋体"/>
          <w:color w:val="auto"/>
          <w:sz w:val="21"/>
          <w:szCs w:val="21"/>
          <w:highlight w:val="none"/>
        </w:rPr>
        <w:t>）</w:t>
      </w:r>
    </w:p>
    <w:p w14:paraId="65573B48">
      <w:pPr>
        <w:ind w:left="0" w:leftChars="0" w:firstLine="0" w:firstLineChars="0"/>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注：</w:t>
      </w:r>
    </w:p>
    <w:p w14:paraId="3642BDD3">
      <w:pPr>
        <w:ind w:left="0" w:leftChars="0" w:firstLine="0" w:firstLineChars="0"/>
        <w:rPr>
          <w:rFonts w:hint="eastAsia" w:ascii="宋体" w:hAnsi="宋体" w:eastAsia="宋体" w:cs="宋体"/>
          <w:b/>
          <w:color w:val="auto"/>
          <w:sz w:val="21"/>
          <w:szCs w:val="21"/>
          <w:highlight w:val="none"/>
        </w:rPr>
      </w:pPr>
      <w:r>
        <w:rPr>
          <w:rFonts w:hint="eastAsia" w:ascii="微软雅黑" w:hAnsi="微软雅黑" w:eastAsia="微软雅黑" w:cs="微软雅黑"/>
          <w:b/>
          <w:color w:val="auto"/>
          <w:sz w:val="21"/>
          <w:szCs w:val="21"/>
          <w:highlight w:val="none"/>
        </w:rPr>
        <w:t>①</w:t>
      </w:r>
      <w:r>
        <w:rPr>
          <w:rFonts w:hint="eastAsia" w:ascii="宋体" w:hAnsi="宋体" w:eastAsia="宋体" w:cs="宋体"/>
          <w:b/>
          <w:color w:val="auto"/>
          <w:sz w:val="21"/>
          <w:szCs w:val="21"/>
          <w:highlight w:val="none"/>
        </w:rPr>
        <w:t>以上标明“必须提供”的材料属于复印件的，必须加盖</w:t>
      </w:r>
      <w:r>
        <w:rPr>
          <w:rFonts w:hint="eastAsia" w:ascii="宋体" w:hAnsi="宋体" w:eastAsia="宋体" w:cs="宋体"/>
          <w:b/>
          <w:color w:val="auto"/>
          <w:sz w:val="21"/>
          <w:szCs w:val="21"/>
          <w:highlight w:val="none"/>
          <w:lang w:val="en-US" w:eastAsia="zh-CN"/>
        </w:rPr>
        <w:t>报价人</w:t>
      </w:r>
      <w:r>
        <w:rPr>
          <w:rFonts w:hint="eastAsia" w:ascii="宋体" w:hAnsi="宋体" w:eastAsia="宋体" w:cs="宋体"/>
          <w:b/>
          <w:color w:val="auto"/>
          <w:sz w:val="21"/>
          <w:szCs w:val="21"/>
          <w:highlight w:val="none"/>
        </w:rPr>
        <w:t>公章，否则</w:t>
      </w:r>
      <w:r>
        <w:rPr>
          <w:rFonts w:hint="eastAsia" w:ascii="宋体" w:hAnsi="宋体" w:eastAsia="宋体" w:cs="宋体"/>
          <w:b/>
          <w:color w:val="auto"/>
          <w:sz w:val="21"/>
          <w:szCs w:val="21"/>
          <w:highlight w:val="none"/>
          <w:lang w:val="en-US" w:eastAsia="zh-CN"/>
        </w:rPr>
        <w:t>报价</w:t>
      </w:r>
      <w:r>
        <w:rPr>
          <w:rFonts w:hint="eastAsia" w:ascii="宋体" w:hAnsi="宋体" w:eastAsia="宋体" w:cs="宋体"/>
          <w:b/>
          <w:color w:val="auto"/>
          <w:sz w:val="21"/>
          <w:szCs w:val="21"/>
          <w:highlight w:val="none"/>
        </w:rPr>
        <w:t>文件按无效响应处理。</w:t>
      </w:r>
    </w:p>
    <w:p w14:paraId="2EA606DC">
      <w:pPr>
        <w:ind w:left="0" w:leftChars="0" w:firstLine="0" w:firstLineChars="0"/>
        <w:rPr>
          <w:rFonts w:hint="eastAsia" w:ascii="宋体" w:hAnsi="宋体" w:eastAsia="宋体" w:cs="宋体"/>
          <w:kern w:val="0"/>
          <w:sz w:val="21"/>
          <w:szCs w:val="21"/>
        </w:rPr>
      </w:pPr>
      <w:r>
        <w:rPr>
          <w:rFonts w:hint="eastAsia" w:ascii="微软雅黑" w:hAnsi="微软雅黑" w:eastAsia="微软雅黑" w:cs="微软雅黑"/>
          <w:b/>
          <w:color w:val="auto"/>
          <w:sz w:val="21"/>
          <w:szCs w:val="21"/>
          <w:highlight w:val="none"/>
          <w:lang w:val="en-US" w:eastAsia="zh-CN"/>
        </w:rPr>
        <w:t>②</w:t>
      </w:r>
      <w:r>
        <w:rPr>
          <w:rFonts w:hint="eastAsia" w:ascii="宋体" w:hAnsi="宋体" w:eastAsia="宋体" w:cs="宋体"/>
          <w:b/>
          <w:color w:val="auto"/>
          <w:sz w:val="21"/>
          <w:szCs w:val="21"/>
          <w:highlight w:val="none"/>
          <w:lang w:val="en-US" w:eastAsia="zh-CN"/>
        </w:rPr>
        <w:t>报价人的报价</w:t>
      </w:r>
      <w:r>
        <w:rPr>
          <w:rFonts w:hint="eastAsia" w:ascii="宋体" w:hAnsi="宋体" w:eastAsia="宋体" w:cs="宋体"/>
          <w:b/>
          <w:color w:val="auto"/>
          <w:sz w:val="21"/>
          <w:szCs w:val="21"/>
          <w:highlight w:val="none"/>
        </w:rPr>
        <w:t>声明必须由法定代表人或委托代理人在规定签章处签字并加盖</w:t>
      </w:r>
      <w:r>
        <w:rPr>
          <w:rFonts w:hint="eastAsia" w:ascii="宋体" w:hAnsi="宋体" w:eastAsia="宋体" w:cs="宋体"/>
          <w:b/>
          <w:color w:val="auto"/>
          <w:sz w:val="21"/>
          <w:szCs w:val="21"/>
          <w:highlight w:val="none"/>
          <w:lang w:val="en-US" w:eastAsia="zh-CN"/>
        </w:rPr>
        <w:t>报价人</w:t>
      </w:r>
      <w:r>
        <w:rPr>
          <w:rFonts w:hint="eastAsia" w:ascii="宋体" w:hAnsi="宋体" w:eastAsia="宋体" w:cs="宋体"/>
          <w:b/>
          <w:color w:val="auto"/>
          <w:sz w:val="21"/>
          <w:szCs w:val="21"/>
          <w:highlight w:val="none"/>
        </w:rPr>
        <w:t>公章，否则响应文件按无效响应处理。</w:t>
      </w:r>
    </w:p>
    <w:p w14:paraId="1EC3DBD6">
      <w:pPr>
        <w:widowControl/>
        <w:adjustRightInd w:val="0"/>
        <w:snapToGrid w:val="0"/>
        <w:spacing w:line="520" w:lineRule="exact"/>
        <w:jc w:val="left"/>
        <w:rPr>
          <w:rFonts w:hint="eastAsia" w:ascii="宋体" w:hAnsi="宋体" w:eastAsia="宋体" w:cs="宋体"/>
          <w:b/>
          <w:kern w:val="0"/>
          <w:sz w:val="21"/>
          <w:szCs w:val="21"/>
        </w:rPr>
      </w:pPr>
      <w:r>
        <w:rPr>
          <w:rFonts w:hint="eastAsia" w:ascii="宋体" w:hAnsi="宋体" w:eastAsia="宋体" w:cs="宋体"/>
          <w:kern w:val="0"/>
          <w:sz w:val="21"/>
          <w:szCs w:val="21"/>
          <w:lang w:val="en-US" w:eastAsia="zh-CN"/>
        </w:rPr>
        <w:t>（3）</w:t>
      </w:r>
      <w:r>
        <w:rPr>
          <w:rFonts w:hint="eastAsia" w:ascii="宋体" w:hAnsi="宋体" w:eastAsia="宋体" w:cs="宋体"/>
          <w:b/>
          <w:kern w:val="0"/>
          <w:sz w:val="21"/>
          <w:szCs w:val="21"/>
        </w:rPr>
        <w:t xml:space="preserve">符合以下规定的条件： </w:t>
      </w:r>
    </w:p>
    <w:p w14:paraId="1BD5631C">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 xml:space="preserve">具有独立承担民事责任的能力； </w:t>
      </w:r>
    </w:p>
    <w:p w14:paraId="62E27C7E">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 xml:space="preserve">具有良好的商业信誉和健全的财务会计制度； </w:t>
      </w:r>
    </w:p>
    <w:p w14:paraId="35CBC04E">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 xml:space="preserve">具有履行合同所必需的设备和专业技术能力； </w:t>
      </w:r>
    </w:p>
    <w:p w14:paraId="320CA08C">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 xml:space="preserve">有依法缴纳税收和社会保障资金的良好记录； </w:t>
      </w:r>
    </w:p>
    <w:p w14:paraId="6677FB72">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 xml:space="preserve">参加政府采购活动前三年内，在经营活动中没有重大违法记录； </w:t>
      </w:r>
    </w:p>
    <w:p w14:paraId="529AA131">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未被列入失信被执行人、重大税收违法失信主体、政府采购严重违法失信行为记录名单；</w:t>
      </w:r>
    </w:p>
    <w:p w14:paraId="5AD11627">
      <w:pPr>
        <w:widowControl/>
        <w:numPr>
          <w:ilvl w:val="0"/>
          <w:numId w:val="2"/>
        </w:numPr>
        <w:adjustRightInd w:val="0"/>
        <w:snapToGrid w:val="0"/>
        <w:spacing w:line="520" w:lineRule="exact"/>
        <w:ind w:left="0" w:leftChars="0" w:firstLine="40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法律、行政法规规定的其他条件。</w:t>
      </w:r>
    </w:p>
    <w:p w14:paraId="57F7BD3F">
      <w:pPr>
        <w:widowControl/>
        <w:adjustRightInd w:val="0"/>
        <w:snapToGrid w:val="0"/>
        <w:spacing w:line="520" w:lineRule="exact"/>
        <w:jc w:val="left"/>
        <w:rPr>
          <w:rFonts w:hint="eastAsia" w:ascii="宋体" w:hAnsi="宋体" w:eastAsia="宋体" w:cs="宋体"/>
          <w:kern w:val="0"/>
          <w:sz w:val="21"/>
          <w:szCs w:val="21"/>
        </w:rPr>
      </w:pPr>
      <w:r>
        <w:rPr>
          <w:rFonts w:hint="eastAsia" w:ascii="宋体" w:hAnsi="宋体" w:eastAsia="宋体" w:cs="宋体"/>
          <w:kern w:val="0"/>
          <w:sz w:val="21"/>
          <w:szCs w:val="21"/>
        </w:rPr>
        <w:t>2.单位负责人为同一人或者存在控股、管理关系的不同供应商，不得参加同一合同项下的采购活动。</w:t>
      </w:r>
    </w:p>
    <w:p w14:paraId="29861CCC">
      <w:pPr>
        <w:widowControl/>
        <w:adjustRightInd w:val="0"/>
        <w:snapToGrid w:val="0"/>
        <w:spacing w:line="520" w:lineRule="exact"/>
        <w:jc w:val="left"/>
        <w:rPr>
          <w:rFonts w:hint="eastAsia" w:ascii="宋体" w:hAnsi="宋体" w:eastAsia="宋体" w:cs="宋体"/>
          <w:b/>
          <w:bCs/>
          <w:kern w:val="0"/>
          <w:sz w:val="21"/>
          <w:szCs w:val="21"/>
        </w:rPr>
      </w:pPr>
      <w:r>
        <w:rPr>
          <w:rFonts w:hint="eastAsia" w:ascii="宋体" w:hAnsi="宋体" w:eastAsia="宋体" w:cs="宋体"/>
          <w:kern w:val="0"/>
          <w:sz w:val="21"/>
          <w:szCs w:val="21"/>
        </w:rPr>
        <w:t>3.报价为最终报价</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须包含货物及货物运抵指定交货地点的运输、装卸费用、售后服务、税金、验收检验及其</w:t>
      </w:r>
      <w:r>
        <w:rPr>
          <w:rFonts w:hint="eastAsia" w:ascii="宋体" w:hAnsi="宋体" w:eastAsia="宋体" w:cs="宋体"/>
          <w:kern w:val="0"/>
          <w:sz w:val="21"/>
          <w:szCs w:val="21"/>
          <w:lang w:eastAsia="zh-CN"/>
        </w:rPr>
        <w:t>他</w:t>
      </w:r>
      <w:r>
        <w:rPr>
          <w:rFonts w:hint="eastAsia" w:ascii="宋体" w:hAnsi="宋体" w:eastAsia="宋体" w:cs="宋体"/>
          <w:kern w:val="0"/>
          <w:sz w:val="21"/>
          <w:szCs w:val="21"/>
        </w:rPr>
        <w:t>所有费用的总和。</w:t>
      </w:r>
      <w:r>
        <w:rPr>
          <w:rFonts w:hint="eastAsia" w:ascii="宋体" w:hAnsi="宋体" w:eastAsia="宋体" w:cs="宋体"/>
          <w:b/>
          <w:bCs/>
          <w:kern w:val="0"/>
          <w:sz w:val="21"/>
          <w:szCs w:val="21"/>
        </w:rPr>
        <w:t>报价超出采购预算金额的文件将被视为无效。</w:t>
      </w:r>
    </w:p>
    <w:p w14:paraId="0105B1C4">
      <w:pPr>
        <w:spacing w:line="360" w:lineRule="auto"/>
        <w:rPr>
          <w:rFonts w:hint="eastAsia" w:ascii="宋体" w:hAnsi="宋体" w:eastAsia="宋体" w:cs="宋体"/>
          <w:color w:val="auto"/>
          <w:sz w:val="21"/>
          <w:szCs w:val="21"/>
          <w:highlight w:val="none"/>
        </w:rPr>
      </w:pPr>
      <w:r>
        <w:rPr>
          <w:rFonts w:hint="eastAsia" w:ascii="宋体" w:hAnsi="宋体" w:eastAsia="宋体" w:cs="宋体"/>
          <w:kern w:val="0"/>
          <w:sz w:val="21"/>
          <w:szCs w:val="21"/>
        </w:rPr>
        <w:t>4.报价文件</w:t>
      </w:r>
      <w:r>
        <w:rPr>
          <w:rFonts w:hint="eastAsia" w:ascii="宋体" w:hAnsi="宋体" w:eastAsia="宋体" w:cs="宋体"/>
          <w:color w:val="auto"/>
          <w:sz w:val="21"/>
          <w:szCs w:val="21"/>
          <w:highlight w:val="none"/>
        </w:rPr>
        <w:t>由资格证明文件、报价商务技术文件两部分组成</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详见</w:t>
      </w:r>
      <w:r>
        <w:rPr>
          <w:rFonts w:hint="eastAsia" w:ascii="宋体" w:hAnsi="宋体" w:eastAsia="宋体" w:cs="宋体"/>
          <w:b/>
          <w:sz w:val="21"/>
          <w:szCs w:val="21"/>
        </w:rPr>
        <w:t>报价文件格式</w:t>
      </w:r>
      <w:r>
        <w:rPr>
          <w:rFonts w:hint="eastAsia" w:ascii="宋体" w:hAnsi="宋体" w:eastAsia="宋体" w:cs="宋体"/>
          <w:color w:val="auto"/>
          <w:sz w:val="21"/>
          <w:szCs w:val="21"/>
          <w:highlight w:val="none"/>
        </w:rPr>
        <w:t>。</w:t>
      </w:r>
      <w:r>
        <w:rPr>
          <w:rFonts w:hint="eastAsia" w:ascii="宋体" w:hAnsi="宋体" w:eastAsia="宋体" w:cs="宋体"/>
          <w:kern w:val="0"/>
          <w:sz w:val="21"/>
          <w:szCs w:val="21"/>
        </w:rPr>
        <w:t>包括</w:t>
      </w:r>
      <w:r>
        <w:rPr>
          <w:rFonts w:hint="eastAsia" w:ascii="宋体" w:hAnsi="宋体" w:eastAsia="宋体" w:cs="宋体"/>
          <w:kern w:val="0"/>
          <w:sz w:val="21"/>
          <w:szCs w:val="21"/>
          <w:lang w:val="en-US" w:eastAsia="zh-CN"/>
        </w:rPr>
        <w:t>但不限于</w:t>
      </w:r>
      <w:r>
        <w:rPr>
          <w:rFonts w:hint="eastAsia" w:ascii="宋体" w:hAnsi="宋体" w:eastAsia="宋体" w:cs="宋体"/>
          <w:kern w:val="0"/>
          <w:sz w:val="21"/>
          <w:szCs w:val="21"/>
        </w:rPr>
        <w:t>本报价函（加盖报价商公章），报价人工商营业执照复印件、法定代表人身份证复印件、委托代理人身份证复印件（</w:t>
      </w:r>
      <w:r>
        <w:rPr>
          <w:rFonts w:hint="eastAsia" w:ascii="宋体" w:hAnsi="宋体" w:eastAsia="宋体" w:cs="宋体"/>
          <w:kern w:val="0"/>
          <w:sz w:val="21"/>
          <w:szCs w:val="21"/>
          <w:lang w:val="en-US" w:eastAsia="zh-CN"/>
        </w:rPr>
        <w:t>有</w:t>
      </w:r>
      <w:r>
        <w:rPr>
          <w:rFonts w:hint="eastAsia" w:ascii="宋体" w:hAnsi="宋体" w:eastAsia="宋体" w:cs="宋体"/>
          <w:kern w:val="0"/>
          <w:sz w:val="21"/>
          <w:szCs w:val="21"/>
        </w:rPr>
        <w:t>委托代理时提供）、法定代表人授权委托书（</w:t>
      </w:r>
      <w:r>
        <w:rPr>
          <w:rFonts w:hint="eastAsia" w:ascii="宋体" w:hAnsi="宋体" w:eastAsia="宋体" w:cs="宋体"/>
          <w:kern w:val="0"/>
          <w:sz w:val="21"/>
          <w:szCs w:val="21"/>
          <w:lang w:val="en-US" w:eastAsia="zh-CN"/>
        </w:rPr>
        <w:t>有</w:t>
      </w:r>
      <w:r>
        <w:rPr>
          <w:rFonts w:hint="eastAsia" w:ascii="宋体" w:hAnsi="宋体" w:eastAsia="宋体" w:cs="宋体"/>
          <w:kern w:val="0"/>
          <w:sz w:val="21"/>
          <w:szCs w:val="21"/>
        </w:rPr>
        <w:t>委托代理时提供）。</w:t>
      </w:r>
    </w:p>
    <w:p w14:paraId="4E9775CC">
      <w:pPr>
        <w:widowControl/>
        <w:adjustRightInd w:val="0"/>
        <w:snapToGrid w:val="0"/>
        <w:spacing w:line="520" w:lineRule="exact"/>
        <w:jc w:val="left"/>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5</w:t>
      </w:r>
      <w:r>
        <w:rPr>
          <w:rFonts w:hint="eastAsia" w:ascii="宋体" w:hAnsi="宋体" w:eastAsia="宋体" w:cs="宋体"/>
          <w:kern w:val="0"/>
          <w:sz w:val="21"/>
          <w:szCs w:val="21"/>
        </w:rPr>
        <w:t>.报价文件递交</w:t>
      </w:r>
    </w:p>
    <w:p w14:paraId="1749A1C6">
      <w:pPr>
        <w:widowControl/>
        <w:adjustRightInd w:val="0"/>
        <w:snapToGrid w:val="0"/>
        <w:spacing w:line="360" w:lineRule="auto"/>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（1）报价</w:t>
      </w:r>
      <w:r>
        <w:rPr>
          <w:rFonts w:hint="eastAsia" w:ascii="宋体" w:hAnsi="宋体" w:eastAsia="宋体" w:cs="宋体"/>
          <w:color w:val="auto"/>
          <w:sz w:val="21"/>
          <w:szCs w:val="21"/>
          <w:highlight w:val="none"/>
        </w:rPr>
        <w:t>文件份数：</w:t>
      </w:r>
      <w:r>
        <w:rPr>
          <w:rFonts w:hint="eastAsia" w:ascii="宋体" w:hAnsi="宋体" w:eastAsia="宋体" w:cs="宋体"/>
          <w:kern w:val="0"/>
          <w:sz w:val="21"/>
          <w:szCs w:val="21"/>
        </w:rPr>
        <w:t>报价文件一式三份</w:t>
      </w:r>
      <w:r>
        <w:rPr>
          <w:rFonts w:hint="eastAsia" w:ascii="宋体" w:hAnsi="宋体" w:eastAsia="宋体" w:cs="宋体"/>
          <w:kern w:val="0"/>
          <w:sz w:val="21"/>
          <w:szCs w:val="21"/>
          <w:lang w:eastAsia="zh-CN"/>
        </w:rPr>
        <w:t>，</w:t>
      </w:r>
      <w:r>
        <w:rPr>
          <w:rFonts w:hint="eastAsia" w:ascii="宋体" w:hAnsi="宋体" w:eastAsia="宋体" w:cs="宋体"/>
          <w:b/>
          <w:bCs/>
          <w:color w:val="auto"/>
          <w:sz w:val="21"/>
          <w:szCs w:val="21"/>
          <w:highlight w:val="none"/>
        </w:rPr>
        <w:t>正本一份、副本二份</w:t>
      </w:r>
    </w:p>
    <w:p w14:paraId="7286C781">
      <w:pPr>
        <w:widowControl/>
        <w:adjustRightInd w:val="0"/>
        <w:snapToGrid w:val="0"/>
        <w:spacing w:line="360" w:lineRule="auto"/>
        <w:jc w:val="left"/>
        <w:rPr>
          <w:rFonts w:hint="eastAsia" w:ascii="宋体" w:hAnsi="宋体" w:eastAsia="宋体" w:cs="宋体"/>
          <w:color w:val="auto"/>
          <w:spacing w:val="-6"/>
          <w:sz w:val="21"/>
          <w:szCs w:val="21"/>
          <w:highlight w:val="none"/>
        </w:rPr>
      </w:pP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报价人</w:t>
      </w:r>
      <w:r>
        <w:rPr>
          <w:rFonts w:hint="eastAsia" w:ascii="宋体" w:hAnsi="宋体" w:eastAsia="宋体" w:cs="宋体"/>
          <w:b w:val="0"/>
          <w:bCs w:val="0"/>
          <w:color w:val="auto"/>
          <w:sz w:val="21"/>
          <w:szCs w:val="21"/>
          <w:highlight w:val="none"/>
        </w:rPr>
        <w:t>应按本</w:t>
      </w:r>
      <w:r>
        <w:rPr>
          <w:rFonts w:hint="eastAsia" w:ascii="宋体" w:hAnsi="宋体" w:eastAsia="宋体" w:cs="宋体"/>
          <w:color w:val="auto"/>
          <w:sz w:val="21"/>
          <w:szCs w:val="21"/>
          <w:highlight w:val="none"/>
        </w:rPr>
        <w:t>文件规定的格式和顺序编制、装订</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文件并标注页码，</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文件内容</w:t>
      </w:r>
      <w:r>
        <w:rPr>
          <w:rFonts w:hint="eastAsia" w:ascii="宋体" w:hAnsi="宋体" w:eastAsia="宋体" w:cs="宋体"/>
          <w:color w:val="auto"/>
          <w:spacing w:val="-6"/>
          <w:sz w:val="21"/>
          <w:szCs w:val="21"/>
          <w:highlight w:val="none"/>
        </w:rPr>
        <w:t>不完整、编排混乱导致被误读、漏读或者查找不到相关内容的，</w:t>
      </w:r>
      <w:r>
        <w:rPr>
          <w:rFonts w:hint="eastAsia" w:ascii="宋体" w:hAnsi="宋体" w:eastAsia="宋体" w:cs="宋体"/>
          <w:color w:val="auto"/>
          <w:sz w:val="21"/>
          <w:szCs w:val="21"/>
          <w:highlight w:val="none"/>
        </w:rPr>
        <w:t>由此引发的</w:t>
      </w:r>
      <w:r>
        <w:rPr>
          <w:rFonts w:hint="eastAsia" w:ascii="宋体" w:hAnsi="宋体" w:eastAsia="宋体" w:cs="宋体"/>
          <w:color w:val="auto"/>
          <w:spacing w:val="-6"/>
          <w:sz w:val="21"/>
          <w:szCs w:val="21"/>
          <w:highlight w:val="none"/>
        </w:rPr>
        <w:t>后果由</w:t>
      </w:r>
      <w:r>
        <w:rPr>
          <w:rFonts w:hint="eastAsia" w:ascii="宋体" w:hAnsi="宋体" w:eastAsia="宋体" w:cs="宋体"/>
          <w:color w:val="auto"/>
          <w:sz w:val="21"/>
          <w:szCs w:val="21"/>
          <w:highlight w:val="none"/>
          <w:lang w:val="en-US" w:eastAsia="zh-CN"/>
        </w:rPr>
        <w:t>报价人自行</w:t>
      </w:r>
      <w:r>
        <w:rPr>
          <w:rFonts w:hint="eastAsia" w:ascii="宋体" w:hAnsi="宋体" w:eastAsia="宋体" w:cs="宋体"/>
          <w:color w:val="auto"/>
          <w:spacing w:val="-6"/>
          <w:sz w:val="21"/>
          <w:szCs w:val="21"/>
          <w:highlight w:val="none"/>
        </w:rPr>
        <w:t>承担。</w:t>
      </w:r>
    </w:p>
    <w:p w14:paraId="10E93A12">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文件的封面应注明“正本</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副本”字样，</w:t>
      </w:r>
      <w:r>
        <w:rPr>
          <w:rFonts w:hint="eastAsia" w:ascii="宋体" w:hAnsi="宋体" w:eastAsia="宋体" w:cs="宋体"/>
          <w:b w:val="0"/>
          <w:bCs w:val="0"/>
          <w:color w:val="auto"/>
          <w:sz w:val="21"/>
          <w:szCs w:val="21"/>
          <w:highlight w:val="none"/>
        </w:rPr>
        <w:t>提供</w:t>
      </w:r>
      <w:r>
        <w:rPr>
          <w:rFonts w:hint="eastAsia" w:ascii="宋体" w:hAnsi="宋体" w:eastAsia="宋体" w:cs="宋体"/>
          <w:b w:val="0"/>
          <w:bCs w:val="0"/>
          <w:color w:val="auto"/>
          <w:sz w:val="21"/>
          <w:szCs w:val="21"/>
          <w:highlight w:val="none"/>
          <w:lang w:val="en-US" w:eastAsia="zh-CN"/>
        </w:rPr>
        <w:t>报价</w:t>
      </w:r>
      <w:r>
        <w:rPr>
          <w:rFonts w:hint="eastAsia" w:ascii="宋体" w:hAnsi="宋体" w:eastAsia="宋体" w:cs="宋体"/>
          <w:b w:val="0"/>
          <w:bCs w:val="0"/>
          <w:color w:val="auto"/>
          <w:sz w:val="21"/>
          <w:szCs w:val="21"/>
          <w:highlight w:val="none"/>
        </w:rPr>
        <w:t>文件正、副本数量不足的将按无效响应处理。</w:t>
      </w:r>
      <w:r>
        <w:rPr>
          <w:rFonts w:hint="eastAsia" w:ascii="宋体" w:hAnsi="宋体" w:eastAsia="宋体" w:cs="宋体"/>
          <w:color w:val="auto"/>
          <w:sz w:val="21"/>
          <w:szCs w:val="21"/>
          <w:highlight w:val="none"/>
        </w:rPr>
        <w:t>由于</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文件装订松散而造成的丢失或其他情况导致的不利后果由</w:t>
      </w:r>
      <w:r>
        <w:rPr>
          <w:rFonts w:hint="eastAsia" w:ascii="宋体" w:hAnsi="宋体" w:eastAsia="宋体" w:cs="宋体"/>
          <w:color w:val="auto"/>
          <w:sz w:val="21"/>
          <w:szCs w:val="21"/>
          <w:highlight w:val="none"/>
          <w:lang w:val="en-US" w:eastAsia="zh-CN"/>
        </w:rPr>
        <w:t>报价人</w:t>
      </w:r>
      <w:r>
        <w:rPr>
          <w:rFonts w:hint="eastAsia" w:ascii="宋体" w:hAnsi="宋体" w:eastAsia="宋体" w:cs="宋体"/>
          <w:color w:val="auto"/>
          <w:sz w:val="21"/>
          <w:szCs w:val="21"/>
          <w:highlight w:val="none"/>
        </w:rPr>
        <w:t>自行承担。</w:t>
      </w:r>
    </w:p>
    <w:p w14:paraId="1AC31C6E">
      <w:pPr>
        <w:spacing w:line="360" w:lineRule="auto"/>
        <w:rPr>
          <w:rFonts w:hint="eastAsia" w:ascii="宋体" w:hAnsi="宋体" w:eastAsia="宋体" w:cs="宋体"/>
          <w:b w:val="0"/>
          <w:bCs w:val="0"/>
          <w:color w:val="auto"/>
          <w:sz w:val="21"/>
          <w:szCs w:val="21"/>
          <w:highlight w:val="none"/>
          <w:lang w:eastAsia="zh-CN"/>
        </w:rPr>
      </w:pPr>
      <w:r>
        <w:rPr>
          <w:rFonts w:hint="eastAsia" w:ascii="宋体" w:hAnsi="宋体" w:eastAsia="宋体" w:cs="宋体"/>
          <w:color w:val="auto"/>
          <w:sz w:val="21"/>
          <w:szCs w:val="21"/>
          <w:highlight w:val="none"/>
          <w:lang w:val="en-US" w:eastAsia="zh-CN"/>
        </w:rPr>
        <w:t>（4）报价</w:t>
      </w:r>
      <w:r>
        <w:rPr>
          <w:rFonts w:hint="eastAsia" w:ascii="宋体" w:hAnsi="宋体" w:eastAsia="宋体" w:cs="宋体"/>
          <w:color w:val="auto"/>
          <w:sz w:val="21"/>
          <w:szCs w:val="21"/>
          <w:highlight w:val="none"/>
        </w:rPr>
        <w:t>文件正、副本全部装入一个包封袋/箱中并加以密封，封口处必须加盖</w:t>
      </w:r>
      <w:r>
        <w:rPr>
          <w:rFonts w:hint="eastAsia" w:ascii="宋体" w:hAnsi="宋体" w:eastAsia="宋体" w:cs="宋体"/>
          <w:color w:val="auto"/>
          <w:sz w:val="21"/>
          <w:szCs w:val="21"/>
          <w:highlight w:val="none"/>
          <w:lang w:val="en-US" w:eastAsia="zh-CN"/>
        </w:rPr>
        <w:t>报价人</w:t>
      </w:r>
      <w:r>
        <w:rPr>
          <w:rFonts w:hint="eastAsia" w:ascii="宋体" w:hAnsi="宋体" w:eastAsia="宋体" w:cs="宋体"/>
          <w:color w:val="auto"/>
          <w:sz w:val="21"/>
          <w:szCs w:val="21"/>
          <w:highlight w:val="none"/>
        </w:rPr>
        <w:t>公章或法定代表人签字或委托代理人签字，以示密封。</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文件外层包装封面上应标记“项目名称、项目编号</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如有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报价人</w:t>
      </w: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”，并在“</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文件提交截止时间前不得启封”字样。</w:t>
      </w:r>
      <w:r>
        <w:rPr>
          <w:rFonts w:hint="eastAsia" w:ascii="宋体" w:hAnsi="宋体" w:eastAsia="宋体" w:cs="宋体"/>
          <w:b w:val="0"/>
          <w:bCs w:val="0"/>
          <w:color w:val="auto"/>
          <w:sz w:val="21"/>
          <w:szCs w:val="21"/>
          <w:highlight w:val="none"/>
        </w:rPr>
        <w:t>未按规定密封的响应文件将被拒收。</w:t>
      </w:r>
    </w:p>
    <w:p w14:paraId="5C5840FA">
      <w:pPr>
        <w:pStyle w:val="36"/>
        <w:rPr>
          <w:rFonts w:hint="eastAsia" w:ascii="宋体" w:hAnsi="宋体" w:eastAsia="宋体" w:cs="宋体"/>
          <w:b w:val="0"/>
          <w:bCs/>
          <w:color w:val="auto"/>
          <w:sz w:val="21"/>
          <w:szCs w:val="21"/>
          <w:highlight w:val="none"/>
        </w:rPr>
      </w:pPr>
      <w:r>
        <w:rPr>
          <w:rFonts w:hint="eastAsia" w:ascii="宋体" w:hAnsi="宋体" w:eastAsia="宋体" w:cs="宋体"/>
          <w:b w:val="0"/>
          <w:bCs/>
          <w:color w:val="auto"/>
          <w:spacing w:val="-6"/>
          <w:sz w:val="21"/>
          <w:szCs w:val="21"/>
          <w:highlight w:val="none"/>
          <w:lang w:val="en-US" w:eastAsia="zh-CN"/>
        </w:rPr>
        <w:t>6.报价</w:t>
      </w:r>
      <w:r>
        <w:rPr>
          <w:rFonts w:hint="eastAsia" w:ascii="宋体" w:hAnsi="宋体" w:eastAsia="宋体" w:cs="宋体"/>
          <w:b w:val="0"/>
          <w:bCs/>
          <w:color w:val="auto"/>
          <w:sz w:val="21"/>
          <w:szCs w:val="21"/>
          <w:highlight w:val="none"/>
        </w:rPr>
        <w:t>文件提交</w:t>
      </w:r>
    </w:p>
    <w:p w14:paraId="40C1A4F7">
      <w:pPr>
        <w:spacing w:line="480" w:lineRule="exact"/>
        <w:ind w:left="0" w:leftChars="0" w:firstLine="0" w:firstLineChars="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报价</w:t>
      </w:r>
      <w:r>
        <w:rPr>
          <w:rFonts w:hint="eastAsia" w:ascii="宋体" w:hAnsi="宋体" w:eastAsia="宋体" w:cs="宋体"/>
          <w:color w:val="auto"/>
          <w:sz w:val="21"/>
          <w:szCs w:val="21"/>
          <w:highlight w:val="none"/>
        </w:rPr>
        <w:t>文件提交起止时间：</w:t>
      </w:r>
      <w:r>
        <w:rPr>
          <w:rFonts w:hint="eastAsia" w:ascii="宋体" w:hAnsi="宋体" w:eastAsia="宋体" w:cs="宋体"/>
          <w:b/>
          <w:bCs/>
          <w:color w:val="auto"/>
          <w:sz w:val="21"/>
          <w:szCs w:val="21"/>
          <w:highlight w:val="none"/>
          <w:u w:val="single"/>
        </w:rPr>
        <w:t>202</w:t>
      </w:r>
      <w:r>
        <w:rPr>
          <w:rFonts w:hint="eastAsia" w:ascii="宋体" w:hAnsi="宋体" w:eastAsia="宋体" w:cs="宋体"/>
          <w:b/>
          <w:bCs/>
          <w:color w:val="auto"/>
          <w:sz w:val="21"/>
          <w:szCs w:val="21"/>
          <w:highlight w:val="none"/>
          <w:u w:val="single"/>
          <w:lang w:val="en-US" w:eastAsia="zh-CN"/>
        </w:rPr>
        <w:t>6</w:t>
      </w:r>
      <w:r>
        <w:rPr>
          <w:rFonts w:hint="eastAsia" w:ascii="宋体" w:hAnsi="宋体" w:eastAsia="宋体" w:cs="宋体"/>
          <w:b/>
          <w:bCs/>
          <w:color w:val="auto"/>
          <w:sz w:val="21"/>
          <w:szCs w:val="21"/>
          <w:highlight w:val="none"/>
          <w:u w:val="single"/>
        </w:rPr>
        <w:t>年</w:t>
      </w:r>
      <w:r>
        <w:rPr>
          <w:rFonts w:hint="eastAsia" w:ascii="宋体" w:hAnsi="宋体" w:eastAsia="宋体" w:cs="宋体"/>
          <w:b/>
          <w:bCs/>
          <w:color w:val="auto"/>
          <w:sz w:val="21"/>
          <w:szCs w:val="21"/>
          <w:highlight w:val="none"/>
          <w:u w:val="single"/>
          <w:lang w:val="en-US" w:eastAsia="zh-CN"/>
        </w:rPr>
        <w:t>11</w:t>
      </w:r>
      <w:r>
        <w:rPr>
          <w:rFonts w:hint="eastAsia" w:ascii="宋体" w:hAnsi="宋体" w:eastAsia="宋体" w:cs="宋体"/>
          <w:b/>
          <w:bCs/>
          <w:color w:val="auto"/>
          <w:sz w:val="21"/>
          <w:szCs w:val="21"/>
          <w:highlight w:val="none"/>
          <w:u w:val="single"/>
        </w:rPr>
        <w:t>月</w:t>
      </w:r>
      <w:r>
        <w:rPr>
          <w:rFonts w:hint="eastAsia" w:ascii="宋体" w:hAnsi="宋体" w:eastAsia="宋体" w:cs="宋体"/>
          <w:b/>
          <w:bCs/>
          <w:color w:val="auto"/>
          <w:sz w:val="21"/>
          <w:szCs w:val="21"/>
          <w:highlight w:val="none"/>
          <w:u w:val="single"/>
          <w:lang w:val="en-US" w:eastAsia="zh-CN"/>
        </w:rPr>
        <w:t>10</w:t>
      </w:r>
      <w:r>
        <w:rPr>
          <w:rFonts w:hint="eastAsia" w:ascii="宋体" w:hAnsi="宋体" w:eastAsia="宋体" w:cs="宋体"/>
          <w:b/>
          <w:bCs/>
          <w:color w:val="auto"/>
          <w:sz w:val="21"/>
          <w:szCs w:val="21"/>
          <w:highlight w:val="none"/>
          <w:u w:val="single"/>
        </w:rPr>
        <w:t>日9时00分至9时30分</w:t>
      </w:r>
      <w:r>
        <w:rPr>
          <w:rFonts w:hint="eastAsia" w:ascii="宋体" w:hAnsi="宋体" w:eastAsia="宋体" w:cs="宋体"/>
          <w:b/>
          <w:bCs/>
          <w:color w:val="auto"/>
          <w:sz w:val="21"/>
          <w:szCs w:val="21"/>
          <w:highlight w:val="none"/>
        </w:rPr>
        <w:t>（北京时间）</w:t>
      </w:r>
    </w:p>
    <w:p w14:paraId="60993A02">
      <w:pPr>
        <w:spacing w:line="480" w:lineRule="exact"/>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文件提交地点</w:t>
      </w:r>
      <w:r>
        <w:rPr>
          <w:rFonts w:hint="eastAsia" w:ascii="宋体" w:hAnsi="宋体" w:eastAsia="宋体" w:cs="宋体"/>
          <w:color w:val="auto"/>
          <w:sz w:val="21"/>
          <w:szCs w:val="21"/>
          <w:highlight w:val="none"/>
          <w:lang w:eastAsia="zh-CN"/>
        </w:rPr>
        <w:t>：</w:t>
      </w:r>
      <w:r>
        <w:rPr>
          <w:rFonts w:hint="eastAsia" w:ascii="宋体" w:hAnsi="宋体" w:eastAsia="宋体" w:cs="宋体"/>
          <w:kern w:val="0"/>
          <w:sz w:val="21"/>
          <w:szCs w:val="21"/>
        </w:rPr>
        <w:t>柳州职业技术大学（柳州市社湾路28号）A区办公楼201室</w:t>
      </w:r>
    </w:p>
    <w:p w14:paraId="23A29EDB">
      <w:pPr>
        <w:spacing w:line="480" w:lineRule="exact"/>
        <w:rPr>
          <w:rFonts w:hint="eastAsia" w:ascii="宋体" w:hAnsi="宋体" w:eastAsia="宋体" w:cs="宋体"/>
          <w:kern w:val="0"/>
          <w:sz w:val="21"/>
          <w:szCs w:val="21"/>
        </w:rPr>
      </w:pPr>
      <w:r>
        <w:rPr>
          <w:rFonts w:hint="eastAsia" w:ascii="宋体" w:hAnsi="宋体" w:eastAsia="宋体" w:cs="宋体"/>
          <w:b/>
          <w:color w:val="auto"/>
          <w:sz w:val="21"/>
          <w:szCs w:val="21"/>
          <w:highlight w:val="none"/>
          <w:u w:val="single"/>
        </w:rPr>
        <w:t>注：</w:t>
      </w:r>
      <w:r>
        <w:rPr>
          <w:rFonts w:hint="eastAsia" w:ascii="宋体" w:hAnsi="宋体" w:eastAsia="宋体" w:cs="宋体"/>
          <w:b/>
          <w:color w:val="auto"/>
          <w:sz w:val="21"/>
          <w:szCs w:val="21"/>
          <w:highlight w:val="none"/>
          <w:u w:val="single"/>
          <w:lang w:val="en-US" w:eastAsia="zh-CN"/>
        </w:rPr>
        <w:t>报价人</w:t>
      </w:r>
      <w:r>
        <w:rPr>
          <w:rFonts w:hint="eastAsia" w:ascii="宋体" w:hAnsi="宋体" w:eastAsia="宋体" w:cs="宋体"/>
          <w:b/>
          <w:color w:val="auto"/>
          <w:sz w:val="21"/>
          <w:szCs w:val="21"/>
          <w:highlight w:val="none"/>
          <w:u w:val="single"/>
        </w:rPr>
        <w:t>应当在</w:t>
      </w:r>
      <w:r>
        <w:rPr>
          <w:rFonts w:hint="eastAsia" w:ascii="宋体" w:hAnsi="宋体" w:eastAsia="宋体" w:cs="宋体"/>
          <w:b/>
          <w:color w:val="auto"/>
          <w:sz w:val="21"/>
          <w:szCs w:val="21"/>
          <w:highlight w:val="none"/>
          <w:u w:val="single"/>
          <w:lang w:val="en-US" w:eastAsia="zh-CN"/>
        </w:rPr>
        <w:t>报价</w:t>
      </w:r>
      <w:r>
        <w:rPr>
          <w:rFonts w:hint="eastAsia" w:ascii="宋体" w:hAnsi="宋体" w:eastAsia="宋体" w:cs="宋体"/>
          <w:b/>
          <w:color w:val="auto"/>
          <w:sz w:val="21"/>
          <w:szCs w:val="21"/>
          <w:highlight w:val="none"/>
          <w:u w:val="single"/>
        </w:rPr>
        <w:t>文件提交截止时间前，将</w:t>
      </w:r>
      <w:r>
        <w:rPr>
          <w:rFonts w:hint="eastAsia" w:ascii="宋体" w:hAnsi="宋体" w:eastAsia="宋体" w:cs="宋体"/>
          <w:b/>
          <w:color w:val="auto"/>
          <w:sz w:val="21"/>
          <w:szCs w:val="21"/>
          <w:highlight w:val="none"/>
          <w:u w:val="single"/>
          <w:lang w:val="en-US" w:eastAsia="zh-CN"/>
        </w:rPr>
        <w:t>报价</w:t>
      </w:r>
      <w:r>
        <w:rPr>
          <w:rFonts w:hint="eastAsia" w:ascii="宋体" w:hAnsi="宋体" w:eastAsia="宋体" w:cs="宋体"/>
          <w:b/>
          <w:color w:val="auto"/>
          <w:sz w:val="21"/>
          <w:szCs w:val="21"/>
          <w:highlight w:val="none"/>
          <w:u w:val="single"/>
        </w:rPr>
        <w:t>文件密封送达提交地点。在</w:t>
      </w:r>
      <w:r>
        <w:rPr>
          <w:rFonts w:hint="eastAsia" w:ascii="宋体" w:hAnsi="宋体" w:eastAsia="宋体" w:cs="宋体"/>
          <w:b/>
          <w:color w:val="auto"/>
          <w:sz w:val="21"/>
          <w:szCs w:val="21"/>
          <w:highlight w:val="none"/>
          <w:u w:val="single"/>
          <w:lang w:val="en-US" w:eastAsia="zh-CN"/>
        </w:rPr>
        <w:t>报价</w:t>
      </w:r>
      <w:r>
        <w:rPr>
          <w:rFonts w:hint="eastAsia" w:ascii="宋体" w:hAnsi="宋体" w:eastAsia="宋体" w:cs="宋体"/>
          <w:b/>
          <w:color w:val="auto"/>
          <w:sz w:val="21"/>
          <w:szCs w:val="21"/>
          <w:highlight w:val="none"/>
          <w:u w:val="single"/>
        </w:rPr>
        <w:t>文件提交截止时间后送达的</w:t>
      </w:r>
      <w:r>
        <w:rPr>
          <w:rFonts w:hint="eastAsia" w:ascii="宋体" w:hAnsi="宋体" w:eastAsia="宋体" w:cs="宋体"/>
          <w:b/>
          <w:color w:val="auto"/>
          <w:sz w:val="21"/>
          <w:szCs w:val="21"/>
          <w:highlight w:val="none"/>
          <w:u w:val="single"/>
          <w:lang w:val="en-US" w:eastAsia="zh-CN"/>
        </w:rPr>
        <w:t>报价</w:t>
      </w:r>
      <w:r>
        <w:rPr>
          <w:rFonts w:hint="eastAsia" w:ascii="宋体" w:hAnsi="宋体" w:eastAsia="宋体" w:cs="宋体"/>
          <w:b/>
          <w:color w:val="auto"/>
          <w:sz w:val="21"/>
          <w:szCs w:val="21"/>
          <w:highlight w:val="none"/>
          <w:u w:val="single"/>
        </w:rPr>
        <w:t>文件为无效文件，</w:t>
      </w:r>
      <w:r>
        <w:rPr>
          <w:rFonts w:hint="eastAsia" w:ascii="宋体" w:hAnsi="宋体" w:eastAsia="宋体" w:cs="宋体"/>
          <w:b/>
          <w:color w:val="auto"/>
          <w:sz w:val="21"/>
          <w:szCs w:val="21"/>
          <w:highlight w:val="none"/>
          <w:u w:val="single"/>
          <w:lang w:val="en-US" w:eastAsia="zh-CN"/>
        </w:rPr>
        <w:t>采购人将</w:t>
      </w:r>
      <w:r>
        <w:rPr>
          <w:rFonts w:hint="eastAsia" w:ascii="宋体" w:hAnsi="宋体" w:eastAsia="宋体" w:cs="宋体"/>
          <w:b/>
          <w:color w:val="auto"/>
          <w:sz w:val="21"/>
          <w:szCs w:val="21"/>
          <w:highlight w:val="none"/>
          <w:u w:val="single"/>
        </w:rPr>
        <w:t>拒收。</w:t>
      </w:r>
    </w:p>
    <w:p w14:paraId="5BA32957">
      <w:pPr>
        <w:pStyle w:val="36"/>
        <w:spacing w:line="360" w:lineRule="auto"/>
        <w:rPr>
          <w:rFonts w:hint="eastAsia" w:ascii="宋体" w:hAnsi="宋体" w:eastAsia="宋体" w:cs="宋体"/>
          <w:b w:val="0"/>
          <w:bCs/>
          <w:color w:val="auto"/>
          <w:spacing w:val="-6"/>
          <w:sz w:val="21"/>
          <w:szCs w:val="21"/>
          <w:highlight w:val="none"/>
          <w:lang w:val="en-US" w:eastAsia="zh-CN"/>
        </w:rPr>
      </w:pPr>
      <w:r>
        <w:rPr>
          <w:rFonts w:hint="eastAsia" w:ascii="宋体" w:hAnsi="宋体" w:eastAsia="宋体" w:cs="宋体"/>
          <w:b w:val="0"/>
          <w:bCs/>
          <w:color w:val="auto"/>
          <w:spacing w:val="-6"/>
          <w:sz w:val="21"/>
          <w:szCs w:val="21"/>
          <w:highlight w:val="none"/>
          <w:lang w:val="en-US" w:eastAsia="zh-CN"/>
        </w:rPr>
        <w:t>7.凡对本次采购提出询问，请按以下方式联系</w:t>
      </w:r>
    </w:p>
    <w:p w14:paraId="567E4AB4">
      <w:pPr>
        <w:pStyle w:val="36"/>
        <w:spacing w:line="360" w:lineRule="auto"/>
        <w:rPr>
          <w:rFonts w:hint="eastAsia" w:ascii="宋体" w:hAnsi="宋体" w:eastAsia="宋体" w:cs="宋体"/>
          <w:b w:val="0"/>
          <w:bCs/>
          <w:color w:val="auto"/>
          <w:spacing w:val="-6"/>
          <w:sz w:val="21"/>
          <w:szCs w:val="21"/>
          <w:highlight w:val="none"/>
          <w:lang w:val="en-US" w:eastAsia="zh-CN"/>
        </w:rPr>
      </w:pPr>
      <w:r>
        <w:rPr>
          <w:rFonts w:hint="eastAsia" w:ascii="宋体" w:hAnsi="宋体" w:eastAsia="宋体" w:cs="宋体"/>
          <w:b w:val="0"/>
          <w:bCs/>
          <w:color w:val="auto"/>
          <w:spacing w:val="-6"/>
          <w:sz w:val="21"/>
          <w:szCs w:val="21"/>
          <w:highlight w:val="none"/>
          <w:lang w:val="en-US" w:eastAsia="zh-CN"/>
        </w:rPr>
        <w:t>（1）技术及需求咨询联系人：俞老师     联系电话：13737270750</w:t>
      </w:r>
    </w:p>
    <w:p w14:paraId="4966A16F">
      <w:pPr>
        <w:pStyle w:val="36"/>
        <w:spacing w:line="360" w:lineRule="auto"/>
        <w:rPr>
          <w:rFonts w:hint="eastAsia" w:ascii="宋体" w:hAnsi="宋体" w:eastAsia="宋体" w:cs="宋体"/>
          <w:b w:val="0"/>
          <w:bCs/>
          <w:color w:val="auto"/>
          <w:spacing w:val="-6"/>
          <w:sz w:val="21"/>
          <w:szCs w:val="21"/>
          <w:highlight w:val="none"/>
          <w:lang w:val="en-US" w:eastAsia="zh-CN"/>
        </w:rPr>
      </w:pPr>
      <w:r>
        <w:rPr>
          <w:rFonts w:hint="eastAsia" w:ascii="宋体" w:hAnsi="宋体" w:eastAsia="宋体" w:cs="宋体"/>
          <w:b w:val="0"/>
          <w:bCs/>
          <w:color w:val="auto"/>
          <w:spacing w:val="-6"/>
          <w:sz w:val="21"/>
          <w:szCs w:val="21"/>
          <w:highlight w:val="none"/>
          <w:lang w:val="en-US" w:eastAsia="zh-CN"/>
        </w:rPr>
        <w:t xml:space="preserve">（2）报价文件接收联系人：资产管理处办公室工作人员      联系电话：0772-3156307   </w:t>
      </w:r>
    </w:p>
    <w:p w14:paraId="5AA1FECF">
      <w:pPr>
        <w:pStyle w:val="36"/>
        <w:spacing w:line="360" w:lineRule="auto"/>
        <w:rPr>
          <w:rFonts w:hint="eastAsia" w:ascii="宋体" w:hAnsi="宋体" w:eastAsia="宋体" w:cs="宋体"/>
          <w:b w:val="0"/>
          <w:bCs/>
          <w:color w:val="auto"/>
          <w:spacing w:val="-6"/>
          <w:sz w:val="21"/>
          <w:szCs w:val="21"/>
          <w:highlight w:val="none"/>
          <w:lang w:val="en-US" w:eastAsia="zh-CN"/>
        </w:rPr>
      </w:pPr>
    </w:p>
    <w:p w14:paraId="4C01A3FF">
      <w:pPr>
        <w:widowControl/>
        <w:ind w:firstLine="7665" w:firstLineChars="3650"/>
        <w:jc w:val="left"/>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柳州职业技术</w:t>
      </w:r>
      <w:r>
        <w:rPr>
          <w:rFonts w:hint="eastAsia" w:ascii="宋体" w:hAnsi="宋体" w:eastAsia="宋体" w:cs="宋体"/>
          <w:b w:val="0"/>
          <w:bCs/>
          <w:color w:val="auto"/>
          <w:kern w:val="0"/>
          <w:sz w:val="21"/>
          <w:szCs w:val="21"/>
        </w:rPr>
        <w:t>大学</w:t>
      </w:r>
    </w:p>
    <w:p w14:paraId="702A5BB5">
      <w:pPr>
        <w:widowControl/>
        <w:jc w:val="left"/>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 xml:space="preserve">                                                                         202</w:t>
      </w:r>
      <w:r>
        <w:rPr>
          <w:rFonts w:hint="eastAsia" w:ascii="宋体" w:hAnsi="宋体" w:eastAsia="宋体" w:cs="宋体"/>
          <w:b w:val="0"/>
          <w:bCs/>
          <w:color w:val="auto"/>
          <w:sz w:val="21"/>
          <w:szCs w:val="21"/>
          <w:lang w:val="en-US" w:eastAsia="zh-CN"/>
        </w:rPr>
        <w:t>6</w:t>
      </w:r>
      <w:r>
        <w:rPr>
          <w:rFonts w:hint="eastAsia" w:ascii="宋体" w:hAnsi="宋体" w:eastAsia="宋体" w:cs="宋体"/>
          <w:b w:val="0"/>
          <w:bCs/>
          <w:color w:val="auto"/>
          <w:sz w:val="21"/>
          <w:szCs w:val="21"/>
        </w:rPr>
        <w:t>年</w:t>
      </w:r>
      <w:r>
        <w:rPr>
          <w:rFonts w:hint="eastAsia" w:ascii="宋体" w:hAnsi="宋体" w:eastAsia="宋体" w:cs="宋体"/>
          <w:b w:val="0"/>
          <w:bCs/>
          <w:color w:val="auto"/>
          <w:sz w:val="21"/>
          <w:szCs w:val="21"/>
          <w:lang w:val="en-US" w:eastAsia="zh-CN"/>
        </w:rPr>
        <w:t>11</w:t>
      </w:r>
      <w:r>
        <w:rPr>
          <w:rFonts w:hint="eastAsia" w:ascii="宋体" w:hAnsi="宋体" w:eastAsia="宋体" w:cs="宋体"/>
          <w:b w:val="0"/>
          <w:bCs/>
          <w:color w:val="auto"/>
          <w:sz w:val="21"/>
          <w:szCs w:val="21"/>
        </w:rPr>
        <w:t>月</w:t>
      </w:r>
      <w:r>
        <w:rPr>
          <w:rFonts w:hint="eastAsia" w:ascii="宋体" w:hAnsi="宋体" w:eastAsia="宋体" w:cs="宋体"/>
          <w:b w:val="0"/>
          <w:bCs/>
          <w:color w:val="auto"/>
          <w:sz w:val="21"/>
          <w:szCs w:val="21"/>
          <w:lang w:val="en-US" w:eastAsia="zh-CN"/>
        </w:rPr>
        <w:t>4</w:t>
      </w:r>
      <w:r>
        <w:rPr>
          <w:rFonts w:hint="eastAsia" w:ascii="宋体" w:hAnsi="宋体" w:eastAsia="宋体" w:cs="宋体"/>
          <w:b w:val="0"/>
          <w:bCs/>
          <w:color w:val="auto"/>
          <w:sz w:val="21"/>
          <w:szCs w:val="21"/>
        </w:rPr>
        <w:t>日</w:t>
      </w:r>
    </w:p>
    <w:p w14:paraId="1359F208">
      <w:pPr>
        <w:pStyle w:val="8"/>
        <w:snapToGrid w:val="0"/>
        <w:spacing w:before="295" w:after="295" w:line="400" w:lineRule="exact"/>
        <w:rPr>
          <w:rFonts w:ascii="Arial" w:hAnsi="Arial" w:cs="Arial"/>
          <w:bCs/>
          <w:sz w:val="24"/>
          <w:szCs w:val="24"/>
        </w:rPr>
      </w:pPr>
    </w:p>
    <w:p w14:paraId="4591B3EC">
      <w:pPr>
        <w:pStyle w:val="9"/>
        <w:ind w:left="5250"/>
      </w:pPr>
    </w:p>
    <w:p w14:paraId="096496B2">
      <w:pPr>
        <w:pStyle w:val="7"/>
      </w:pPr>
    </w:p>
    <w:p w14:paraId="25FFD69B">
      <w:pPr>
        <w:pStyle w:val="7"/>
      </w:pPr>
    </w:p>
    <w:p w14:paraId="742E4DC1">
      <w:pPr>
        <w:pStyle w:val="7"/>
      </w:pPr>
    </w:p>
    <w:p w14:paraId="4673AFA2">
      <w:pPr>
        <w:pStyle w:val="7"/>
      </w:pPr>
    </w:p>
    <w:p w14:paraId="406173FD">
      <w:pPr>
        <w:pStyle w:val="7"/>
      </w:pPr>
    </w:p>
    <w:p w14:paraId="18E4A4C8">
      <w:pPr>
        <w:pStyle w:val="7"/>
      </w:pPr>
    </w:p>
    <w:p w14:paraId="093736C9">
      <w:pPr>
        <w:pStyle w:val="7"/>
      </w:pPr>
    </w:p>
    <w:p w14:paraId="69BF4FC5">
      <w:pPr>
        <w:pStyle w:val="7"/>
      </w:pPr>
    </w:p>
    <w:p w14:paraId="015E0F3E">
      <w:pPr>
        <w:pStyle w:val="7"/>
      </w:pPr>
    </w:p>
    <w:p w14:paraId="6905D4A1">
      <w:pPr>
        <w:pStyle w:val="7"/>
      </w:pPr>
    </w:p>
    <w:p w14:paraId="7442DD7C">
      <w:pPr>
        <w:pStyle w:val="7"/>
      </w:pPr>
    </w:p>
    <w:p w14:paraId="2855F704">
      <w:pPr>
        <w:pStyle w:val="7"/>
      </w:pPr>
    </w:p>
    <w:p w14:paraId="0FCC784F">
      <w:pPr>
        <w:pStyle w:val="7"/>
      </w:pPr>
    </w:p>
    <w:p w14:paraId="3CBD8469">
      <w:pPr>
        <w:pStyle w:val="7"/>
      </w:pPr>
    </w:p>
    <w:p w14:paraId="4048727A">
      <w:pPr>
        <w:pStyle w:val="7"/>
      </w:pPr>
    </w:p>
    <w:p w14:paraId="7550BCB1">
      <w:pPr>
        <w:pStyle w:val="7"/>
      </w:pPr>
    </w:p>
    <w:p w14:paraId="4D4F9484">
      <w:pPr>
        <w:pStyle w:val="7"/>
        <w:jc w:val="center"/>
        <w:rPr>
          <w:rFonts w:hint="eastAsia"/>
          <w:b/>
          <w:sz w:val="44"/>
          <w:szCs w:val="44"/>
        </w:rPr>
      </w:pPr>
      <w:r>
        <w:rPr>
          <w:rFonts w:hint="eastAsia"/>
          <w:b/>
          <w:sz w:val="44"/>
          <w:szCs w:val="44"/>
        </w:rPr>
        <w:t xml:space="preserve"> 报价文件格式</w:t>
      </w:r>
    </w:p>
    <w:p w14:paraId="060AE986">
      <w:pPr>
        <w:pStyle w:val="7"/>
        <w:jc w:val="center"/>
        <w:rPr>
          <w:rFonts w:hint="eastAsia"/>
          <w:b/>
          <w:sz w:val="48"/>
          <w:szCs w:val="40"/>
        </w:rPr>
      </w:pPr>
    </w:p>
    <w:p w14:paraId="27548E59">
      <w:pPr>
        <w:jc w:val="left"/>
        <w:outlineLvl w:val="1"/>
        <w:rPr>
          <w:rFonts w:ascii="宋体" w:hAnsi="Times New Roman" w:eastAsia="仿宋" w:cs="Times New Roman"/>
          <w:b/>
          <w:sz w:val="32"/>
          <w:szCs w:val="32"/>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封面（格式 ）</w:t>
      </w:r>
      <w:r>
        <w:rPr>
          <w:rFonts w:hint="eastAsia" w:ascii="宋体" w:hAnsi="Times New Roman" w:eastAsia="仿宋" w:cs="Times New Roman"/>
          <w:b/>
          <w:sz w:val="32"/>
          <w:szCs w:val="32"/>
        </w:rPr>
        <w:t xml:space="preserve"> </w:t>
      </w:r>
    </w:p>
    <w:p w14:paraId="6F2F2457">
      <w:pPr>
        <w:spacing w:line="440" w:lineRule="exact"/>
        <w:ind w:firstLine="560" w:firstLineChars="200"/>
        <w:jc w:val="left"/>
        <w:rPr>
          <w:rFonts w:ascii="宋体" w:hAnsi="Times New Roman" w:eastAsia="仿宋" w:cs="Times New Roman"/>
          <w:sz w:val="28"/>
          <w:szCs w:val="21"/>
        </w:rPr>
      </w:pPr>
    </w:p>
    <w:p w14:paraId="62B3CBEA">
      <w:pPr>
        <w:snapToGrid w:val="0"/>
        <w:spacing w:before="156" w:beforeLines="50" w:after="50" w:line="360" w:lineRule="auto"/>
        <w:jc w:val="center"/>
        <w:rPr>
          <w:rFonts w:hint="eastAsia" w:ascii="宋体" w:hAnsi="宋体" w:eastAsia="仿宋" w:cs="Times New Roman"/>
          <w:b/>
          <w:sz w:val="44"/>
          <w:szCs w:val="44"/>
        </w:rPr>
      </w:pPr>
      <w:r>
        <w:rPr>
          <w:rFonts w:hint="eastAsia" w:ascii="宋体" w:hAnsi="宋体" w:eastAsia="仿宋" w:cs="Times New Roman"/>
          <w:b/>
          <w:sz w:val="44"/>
          <w:szCs w:val="44"/>
        </w:rPr>
        <w:t>报 价 文 件</w:t>
      </w:r>
    </w:p>
    <w:p w14:paraId="13564D64">
      <w:pPr>
        <w:snapToGrid w:val="0"/>
        <w:spacing w:before="156" w:beforeLines="50" w:after="50" w:line="360" w:lineRule="auto"/>
        <w:jc w:val="center"/>
        <w:rPr>
          <w:rFonts w:hint="eastAsia" w:ascii="宋体" w:hAnsi="宋体" w:eastAsia="仿宋" w:cs="Times New Roman"/>
          <w:b/>
          <w:sz w:val="44"/>
          <w:szCs w:val="44"/>
        </w:rPr>
      </w:pPr>
    </w:p>
    <w:p w14:paraId="25D52757">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1F202FB">
      <w:pPr>
        <w:snapToGrid w:val="0"/>
        <w:spacing w:line="276" w:lineRule="auto"/>
        <w:ind w:firstLine="720" w:firstLineChars="200"/>
        <w:jc w:val="left"/>
        <w:rPr>
          <w:rFonts w:hint="eastAsia" w:ascii="宋体" w:hAnsi="宋体" w:eastAsia="仿宋" w:cs="Times New Roman"/>
          <w:bCs/>
          <w:sz w:val="36"/>
          <w:szCs w:val="36"/>
        </w:rPr>
      </w:pPr>
    </w:p>
    <w:p w14:paraId="6C9DC309">
      <w:pPr>
        <w:snapToGrid w:val="0"/>
        <w:spacing w:line="276" w:lineRule="auto"/>
        <w:ind w:firstLine="720" w:firstLineChars="200"/>
        <w:jc w:val="left"/>
        <w:rPr>
          <w:rFonts w:hint="default" w:ascii="宋体" w:hAnsi="宋体" w:eastAsia="仿宋" w:cs="Times New Roman"/>
          <w:bCs/>
          <w:sz w:val="36"/>
          <w:szCs w:val="36"/>
          <w:u w:val="single"/>
          <w:lang w:val="en-US" w:eastAsia="zh-CN"/>
        </w:rPr>
      </w:pPr>
      <w:r>
        <w:rPr>
          <w:rFonts w:hint="eastAsia" w:ascii="宋体" w:hAnsi="宋体" w:eastAsia="仿宋" w:cs="Times New Roman"/>
          <w:bCs/>
          <w:sz w:val="36"/>
          <w:szCs w:val="36"/>
        </w:rPr>
        <w:t>项目编号：</w:t>
      </w:r>
      <w:r>
        <w:rPr>
          <w:rFonts w:hint="eastAsia" w:ascii="宋体" w:hAnsi="宋体" w:eastAsia="仿宋" w:cs="Times New Roman"/>
          <w:bCs/>
          <w:sz w:val="36"/>
          <w:szCs w:val="36"/>
          <w:u w:val="single"/>
          <w:lang w:val="en-US" w:eastAsia="zh-CN"/>
        </w:rPr>
        <w:t xml:space="preserve">                          </w:t>
      </w:r>
    </w:p>
    <w:p w14:paraId="2F0F5D1B">
      <w:pPr>
        <w:snapToGrid w:val="0"/>
        <w:spacing w:line="276" w:lineRule="auto"/>
        <w:ind w:firstLine="720" w:firstLineChars="200"/>
        <w:jc w:val="left"/>
        <w:rPr>
          <w:rFonts w:ascii="宋体" w:hAnsi="宋体" w:eastAsia="仿宋" w:cs="Times New Roman"/>
          <w:bCs/>
          <w:sz w:val="36"/>
          <w:szCs w:val="36"/>
        </w:rPr>
      </w:pPr>
    </w:p>
    <w:p w14:paraId="637725F4">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5A4D5D15">
      <w:pPr>
        <w:snapToGrid w:val="0"/>
        <w:spacing w:line="276" w:lineRule="auto"/>
        <w:ind w:firstLine="720" w:firstLineChars="200"/>
        <w:jc w:val="left"/>
        <w:rPr>
          <w:rFonts w:ascii="宋体" w:hAnsi="宋体" w:eastAsia="仿宋" w:cs="Times New Roman"/>
          <w:bCs/>
          <w:sz w:val="36"/>
          <w:szCs w:val="36"/>
        </w:rPr>
      </w:pPr>
    </w:p>
    <w:p w14:paraId="21490DC9">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76D5CBE1">
      <w:pPr>
        <w:snapToGrid w:val="0"/>
        <w:spacing w:line="276" w:lineRule="auto"/>
        <w:ind w:firstLine="540" w:firstLineChars="150"/>
        <w:jc w:val="center"/>
        <w:rPr>
          <w:rFonts w:ascii="宋体" w:hAnsi="宋体" w:eastAsia="仿宋" w:cs="Times New Roman"/>
          <w:bCs/>
          <w:sz w:val="36"/>
          <w:szCs w:val="36"/>
        </w:rPr>
      </w:pPr>
    </w:p>
    <w:p w14:paraId="0B96A9E5">
      <w:pPr>
        <w:pStyle w:val="7"/>
        <w:jc w:val="center"/>
        <w:rPr>
          <w:b/>
          <w:sz w:val="44"/>
          <w:szCs w:val="36"/>
        </w:rPr>
      </w:pPr>
    </w:p>
    <w:p w14:paraId="02D476A6">
      <w:pPr>
        <w:pStyle w:val="7"/>
        <w:jc w:val="center"/>
        <w:rPr>
          <w:b/>
          <w:sz w:val="44"/>
          <w:szCs w:val="36"/>
        </w:rPr>
      </w:pPr>
    </w:p>
    <w:p w14:paraId="49BF47B9">
      <w:pPr>
        <w:pStyle w:val="7"/>
        <w:jc w:val="center"/>
        <w:rPr>
          <w:b/>
          <w:sz w:val="44"/>
          <w:szCs w:val="36"/>
        </w:rPr>
      </w:pPr>
    </w:p>
    <w:p w14:paraId="5394164E">
      <w:pPr>
        <w:pStyle w:val="7"/>
        <w:jc w:val="center"/>
        <w:rPr>
          <w:b/>
          <w:sz w:val="44"/>
          <w:szCs w:val="36"/>
        </w:rPr>
      </w:pPr>
    </w:p>
    <w:p w14:paraId="4570D53B">
      <w:pPr>
        <w:pStyle w:val="7"/>
        <w:jc w:val="center"/>
        <w:rPr>
          <w:b/>
          <w:sz w:val="44"/>
          <w:szCs w:val="36"/>
        </w:rPr>
      </w:pPr>
    </w:p>
    <w:p w14:paraId="25392A60">
      <w:pPr>
        <w:pStyle w:val="7"/>
        <w:jc w:val="center"/>
        <w:rPr>
          <w:b/>
          <w:sz w:val="44"/>
          <w:szCs w:val="36"/>
        </w:rPr>
      </w:pPr>
    </w:p>
    <w:p w14:paraId="49A58C04">
      <w:pPr>
        <w:pStyle w:val="7"/>
        <w:jc w:val="center"/>
        <w:rPr>
          <w:b/>
          <w:sz w:val="44"/>
          <w:szCs w:val="36"/>
        </w:rPr>
      </w:pPr>
    </w:p>
    <w:p w14:paraId="1E10EDF3">
      <w:pPr>
        <w:pStyle w:val="7"/>
        <w:jc w:val="both"/>
        <w:rPr>
          <w:b/>
          <w:sz w:val="44"/>
          <w:szCs w:val="36"/>
        </w:rPr>
      </w:pPr>
    </w:p>
    <w:p w14:paraId="52D79370">
      <w:pPr>
        <w:jc w:val="left"/>
        <w:outlineLvl w:val="1"/>
        <w:rPr>
          <w:rFonts w:ascii="宋体" w:hAnsi="Times New Roman" w:eastAsia="仿宋" w:cs="Times New Roman"/>
          <w:b/>
          <w:sz w:val="44"/>
          <w:szCs w:val="44"/>
        </w:rPr>
      </w:pPr>
      <w:r>
        <w:rPr>
          <w:rFonts w:hint="eastAsia" w:ascii="宋体" w:hAnsi="Times New Roman" w:eastAsia="仿宋" w:cs="Times New Roman"/>
          <w:b/>
          <w:sz w:val="44"/>
          <w:szCs w:val="44"/>
        </w:rPr>
        <w:t>1.</w:t>
      </w:r>
      <w:r>
        <w:rPr>
          <w:rFonts w:hint="eastAsia" w:ascii="宋体" w:hAnsi="Times New Roman" w:eastAsia="仿宋" w:cs="Times New Roman"/>
          <w:b/>
          <w:sz w:val="44"/>
          <w:szCs w:val="44"/>
          <w:lang w:val="en-US" w:eastAsia="zh-CN"/>
        </w:rPr>
        <w:t>报价</w:t>
      </w:r>
      <w:r>
        <w:rPr>
          <w:rFonts w:hint="eastAsia" w:ascii="宋体" w:hAnsi="Times New Roman" w:eastAsia="仿宋" w:cs="Times New Roman"/>
          <w:b/>
          <w:sz w:val="44"/>
          <w:szCs w:val="44"/>
        </w:rPr>
        <w:t>文件封面（格式）：</w:t>
      </w:r>
    </w:p>
    <w:p w14:paraId="25C00B67">
      <w:pPr>
        <w:snapToGrid w:val="0"/>
        <w:spacing w:before="156" w:beforeLines="50" w:after="50" w:line="360" w:lineRule="exact"/>
        <w:rPr>
          <w:rFonts w:ascii="宋体" w:hAnsi="宋体" w:eastAsia="宋体" w:cs="Times New Roman"/>
          <w:b/>
          <w:sz w:val="44"/>
          <w:szCs w:val="24"/>
        </w:rPr>
      </w:pPr>
    </w:p>
    <w:p w14:paraId="6CC96901">
      <w:pPr>
        <w:snapToGrid w:val="0"/>
        <w:spacing w:before="156" w:beforeLines="50" w:after="50" w:line="360" w:lineRule="exact"/>
        <w:ind w:firstLine="3278" w:firstLineChars="742"/>
        <w:rPr>
          <w:rFonts w:ascii="宋体" w:hAnsi="宋体" w:eastAsia="宋体" w:cs="Times New Roman"/>
          <w:b/>
          <w:sz w:val="44"/>
          <w:szCs w:val="24"/>
        </w:rPr>
      </w:pPr>
    </w:p>
    <w:p w14:paraId="1E210EB1">
      <w:pPr>
        <w:snapToGrid w:val="0"/>
        <w:spacing w:before="156" w:beforeLines="50" w:after="50" w:line="360" w:lineRule="exact"/>
        <w:jc w:val="center"/>
        <w:outlineLvl w:val="1"/>
        <w:rPr>
          <w:rFonts w:ascii="宋体" w:hAnsi="宋体" w:eastAsia="宋体" w:cs="Times New Roman"/>
          <w:b/>
          <w:sz w:val="44"/>
          <w:szCs w:val="24"/>
        </w:rPr>
      </w:pPr>
      <w:r>
        <w:rPr>
          <w:rFonts w:hint="eastAsia" w:ascii="宋体" w:hAnsi="宋体" w:eastAsia="宋体" w:cs="Times New Roman"/>
          <w:b/>
          <w:sz w:val="44"/>
          <w:szCs w:val="24"/>
          <w:lang w:val="en-US" w:eastAsia="zh-CN"/>
        </w:rPr>
        <w:t xml:space="preserve">报  价  </w:t>
      </w:r>
      <w:r>
        <w:rPr>
          <w:rFonts w:hint="eastAsia" w:ascii="宋体" w:hAnsi="宋体" w:eastAsia="宋体" w:cs="Times New Roman"/>
          <w:b/>
          <w:sz w:val="44"/>
          <w:szCs w:val="24"/>
        </w:rPr>
        <w:t>文</w:t>
      </w:r>
      <w:r>
        <w:rPr>
          <w:rFonts w:hint="eastAsia" w:ascii="宋体" w:hAnsi="宋体" w:eastAsia="宋体" w:cs="Times New Roman"/>
          <w:b/>
          <w:sz w:val="44"/>
          <w:szCs w:val="24"/>
          <w:lang w:val="en-US" w:eastAsia="zh-CN"/>
        </w:rPr>
        <w:t xml:space="preserve">  </w:t>
      </w:r>
      <w:r>
        <w:rPr>
          <w:rFonts w:hint="eastAsia" w:ascii="宋体" w:hAnsi="宋体" w:eastAsia="宋体" w:cs="Times New Roman"/>
          <w:b/>
          <w:sz w:val="44"/>
          <w:szCs w:val="24"/>
        </w:rPr>
        <w:t>件</w:t>
      </w:r>
    </w:p>
    <w:p w14:paraId="631EC89D">
      <w:pPr>
        <w:snapToGrid w:val="0"/>
        <w:spacing w:before="156" w:beforeLines="50" w:after="50" w:line="360" w:lineRule="exact"/>
        <w:ind w:firstLine="3278" w:firstLineChars="742"/>
        <w:rPr>
          <w:rFonts w:ascii="宋体" w:hAnsi="宋体" w:eastAsia="宋体" w:cs="Times New Roman"/>
          <w:b/>
          <w:sz w:val="44"/>
          <w:szCs w:val="24"/>
        </w:rPr>
      </w:pPr>
    </w:p>
    <w:p w14:paraId="4071EA63">
      <w:pPr>
        <w:snapToGrid w:val="0"/>
        <w:spacing w:before="156" w:beforeLines="50" w:after="50" w:line="360" w:lineRule="exact"/>
        <w:rPr>
          <w:rFonts w:ascii="宋体" w:hAnsi="宋体" w:eastAsia="宋体" w:cs="Times New Roman"/>
          <w:szCs w:val="24"/>
        </w:rPr>
      </w:pPr>
    </w:p>
    <w:p w14:paraId="1DBF05F7">
      <w:pPr>
        <w:snapToGrid w:val="0"/>
        <w:spacing w:before="156" w:beforeLines="50" w:after="50" w:line="360" w:lineRule="exact"/>
        <w:rPr>
          <w:rFonts w:ascii="宋体" w:hAnsi="宋体" w:eastAsia="宋体" w:cs="Times New Roman"/>
          <w:szCs w:val="24"/>
        </w:rPr>
      </w:pPr>
    </w:p>
    <w:p w14:paraId="2BF32C61">
      <w:pPr>
        <w:snapToGrid w:val="0"/>
        <w:spacing w:line="1000" w:lineRule="exact"/>
        <w:ind w:firstLine="1080" w:firstLineChars="300"/>
        <w:rPr>
          <w:rFonts w:hint="eastAsia" w:ascii="仿宋" w:hAnsi="仿宋" w:eastAsia="仿宋" w:cs="仿宋"/>
          <w:sz w:val="36"/>
          <w:szCs w:val="36"/>
        </w:rPr>
      </w:pPr>
      <w:r>
        <w:rPr>
          <w:rFonts w:hint="eastAsia" w:ascii="仿宋" w:hAnsi="仿宋" w:eastAsia="仿宋" w:cs="仿宋"/>
          <w:bCs/>
          <w:sz w:val="36"/>
          <w:szCs w:val="36"/>
        </w:rPr>
        <w:t>项目名称：</w:t>
      </w:r>
      <w:r>
        <w:rPr>
          <w:rFonts w:hint="eastAsia" w:ascii="仿宋" w:hAnsi="仿宋" w:eastAsia="仿宋" w:cs="仿宋"/>
          <w:bCs/>
          <w:sz w:val="36"/>
          <w:szCs w:val="36"/>
          <w:u w:val="single"/>
        </w:rPr>
        <w:t xml:space="preserve">                       </w:t>
      </w:r>
    </w:p>
    <w:p w14:paraId="1C90DF6F">
      <w:pPr>
        <w:snapToGrid w:val="0"/>
        <w:spacing w:line="1000" w:lineRule="exact"/>
        <w:ind w:firstLine="1080" w:firstLineChars="300"/>
        <w:rPr>
          <w:rFonts w:hint="eastAsia" w:ascii="仿宋" w:hAnsi="仿宋" w:eastAsia="仿宋" w:cs="仿宋"/>
          <w:bCs/>
          <w:sz w:val="36"/>
          <w:szCs w:val="36"/>
        </w:rPr>
      </w:pPr>
      <w:r>
        <w:rPr>
          <w:rFonts w:hint="eastAsia" w:ascii="仿宋" w:hAnsi="仿宋" w:eastAsia="仿宋" w:cs="仿宋"/>
          <w:sz w:val="36"/>
          <w:szCs w:val="36"/>
        </w:rPr>
        <w:t>项目编号：</w:t>
      </w:r>
      <w:r>
        <w:rPr>
          <w:rFonts w:hint="eastAsia" w:ascii="仿宋" w:hAnsi="仿宋" w:eastAsia="仿宋" w:cs="仿宋"/>
          <w:sz w:val="36"/>
          <w:szCs w:val="36"/>
          <w:u w:val="single"/>
        </w:rPr>
        <w:t xml:space="preserve">                        </w:t>
      </w:r>
      <w:r>
        <w:rPr>
          <w:rFonts w:hint="eastAsia" w:ascii="仿宋" w:hAnsi="仿宋" w:eastAsia="仿宋" w:cs="仿宋"/>
          <w:sz w:val="36"/>
          <w:szCs w:val="36"/>
        </w:rPr>
        <w:t xml:space="preserve">   </w:t>
      </w:r>
    </w:p>
    <w:p w14:paraId="0BC768F2">
      <w:pPr>
        <w:snapToGrid w:val="0"/>
        <w:spacing w:line="1000" w:lineRule="exact"/>
        <w:ind w:firstLine="1080" w:firstLineChars="300"/>
        <w:rPr>
          <w:rFonts w:hint="eastAsia" w:ascii="仿宋" w:hAnsi="仿宋" w:eastAsia="仿宋" w:cs="仿宋"/>
          <w:bCs/>
          <w:sz w:val="36"/>
          <w:szCs w:val="36"/>
          <w:u w:val="single"/>
        </w:rPr>
      </w:pPr>
      <w:r>
        <w:rPr>
          <w:rFonts w:hint="eastAsia" w:ascii="仿宋" w:hAnsi="仿宋" w:eastAsia="仿宋" w:cs="仿宋"/>
          <w:bCs/>
          <w:sz w:val="36"/>
          <w:szCs w:val="36"/>
          <w:lang w:val="en-US" w:eastAsia="zh-CN"/>
        </w:rPr>
        <w:t>报价人</w:t>
      </w:r>
      <w:r>
        <w:rPr>
          <w:rFonts w:hint="eastAsia" w:ascii="仿宋" w:hAnsi="仿宋" w:eastAsia="仿宋" w:cs="仿宋"/>
          <w:bCs/>
          <w:sz w:val="36"/>
          <w:szCs w:val="36"/>
        </w:rPr>
        <w:t>名称：</w:t>
      </w:r>
      <w:r>
        <w:rPr>
          <w:rFonts w:hint="eastAsia" w:ascii="仿宋" w:hAnsi="仿宋" w:eastAsia="仿宋" w:cs="仿宋"/>
          <w:bCs/>
          <w:sz w:val="36"/>
          <w:szCs w:val="36"/>
          <w:u w:val="single"/>
        </w:rPr>
        <w:t xml:space="preserve">        全称          </w:t>
      </w:r>
      <w:r>
        <w:rPr>
          <w:rFonts w:hint="eastAsia" w:ascii="仿宋" w:hAnsi="仿宋" w:eastAsia="仿宋" w:cs="仿宋"/>
          <w:bCs/>
          <w:sz w:val="36"/>
          <w:szCs w:val="36"/>
        </w:rPr>
        <w:t xml:space="preserve">   （加盖单位公章）</w:t>
      </w:r>
    </w:p>
    <w:p w14:paraId="5F3884B2">
      <w:pPr>
        <w:snapToGrid w:val="0"/>
        <w:spacing w:line="1000" w:lineRule="exact"/>
        <w:ind w:firstLine="1080" w:firstLineChars="300"/>
        <w:rPr>
          <w:rFonts w:hint="eastAsia" w:ascii="仿宋" w:hAnsi="仿宋" w:eastAsia="仿宋" w:cs="仿宋"/>
          <w:bCs/>
          <w:sz w:val="36"/>
          <w:szCs w:val="36"/>
          <w:u w:val="single"/>
        </w:rPr>
      </w:pPr>
      <w:r>
        <w:rPr>
          <w:rFonts w:hint="eastAsia" w:ascii="仿宋" w:hAnsi="仿宋" w:eastAsia="仿宋" w:cs="仿宋"/>
          <w:bCs/>
          <w:sz w:val="36"/>
          <w:szCs w:val="36"/>
          <w:lang w:val="en-US" w:eastAsia="zh-CN"/>
        </w:rPr>
        <w:t>报价人</w:t>
      </w:r>
      <w:r>
        <w:rPr>
          <w:rFonts w:hint="eastAsia" w:ascii="仿宋" w:hAnsi="仿宋" w:eastAsia="仿宋" w:cs="仿宋"/>
          <w:bCs/>
          <w:sz w:val="36"/>
          <w:szCs w:val="36"/>
        </w:rPr>
        <w:t>地址：</w:t>
      </w:r>
      <w:r>
        <w:rPr>
          <w:rFonts w:hint="eastAsia" w:ascii="仿宋" w:hAnsi="仿宋" w:eastAsia="仿宋" w:cs="仿宋"/>
          <w:bCs/>
          <w:sz w:val="36"/>
          <w:szCs w:val="36"/>
          <w:u w:val="single"/>
        </w:rPr>
        <w:t xml:space="preserve">                      </w:t>
      </w:r>
    </w:p>
    <w:p w14:paraId="577B64A8">
      <w:pPr>
        <w:snapToGrid w:val="0"/>
        <w:spacing w:line="1000" w:lineRule="exact"/>
        <w:ind w:firstLine="1080" w:firstLineChars="300"/>
        <w:rPr>
          <w:rFonts w:hint="eastAsia" w:ascii="仿宋" w:hAnsi="仿宋" w:eastAsia="仿宋" w:cs="仿宋"/>
          <w:bCs/>
          <w:sz w:val="36"/>
          <w:szCs w:val="36"/>
          <w:u w:val="single"/>
        </w:rPr>
      </w:pPr>
      <w:r>
        <w:rPr>
          <w:rFonts w:hint="eastAsia" w:ascii="仿宋" w:hAnsi="仿宋" w:eastAsia="仿宋" w:cs="仿宋"/>
          <w:bCs/>
          <w:sz w:val="36"/>
          <w:szCs w:val="36"/>
        </w:rPr>
        <w:t>联系人：</w:t>
      </w:r>
      <w:r>
        <w:rPr>
          <w:rFonts w:hint="eastAsia" w:ascii="仿宋" w:hAnsi="仿宋" w:eastAsia="仿宋" w:cs="仿宋"/>
          <w:bCs/>
          <w:sz w:val="36"/>
          <w:szCs w:val="36"/>
          <w:u w:val="single"/>
        </w:rPr>
        <w:t xml:space="preserve">           </w:t>
      </w:r>
      <w:r>
        <w:rPr>
          <w:rFonts w:hint="eastAsia" w:ascii="仿宋" w:hAnsi="仿宋" w:eastAsia="仿宋" w:cs="仿宋"/>
          <w:bCs/>
          <w:sz w:val="36"/>
          <w:szCs w:val="36"/>
        </w:rPr>
        <w:t>联系电话：</w:t>
      </w:r>
      <w:r>
        <w:rPr>
          <w:rFonts w:hint="eastAsia" w:ascii="仿宋" w:hAnsi="仿宋" w:eastAsia="仿宋" w:cs="仿宋"/>
          <w:bCs/>
          <w:sz w:val="36"/>
          <w:szCs w:val="36"/>
          <w:u w:val="single"/>
        </w:rPr>
        <w:t xml:space="preserve">           </w:t>
      </w:r>
    </w:p>
    <w:p w14:paraId="69525AA5">
      <w:pPr>
        <w:snapToGrid w:val="0"/>
        <w:spacing w:line="1000" w:lineRule="exact"/>
        <w:ind w:firstLine="1080" w:firstLineChars="300"/>
        <w:rPr>
          <w:rFonts w:hint="eastAsia" w:ascii="仿宋" w:hAnsi="仿宋" w:eastAsia="仿宋" w:cs="仿宋"/>
          <w:bCs/>
          <w:sz w:val="36"/>
          <w:szCs w:val="36"/>
          <w:u w:val="single"/>
        </w:rPr>
      </w:pPr>
    </w:p>
    <w:p w14:paraId="32EF8E23">
      <w:pPr>
        <w:snapToGrid w:val="0"/>
        <w:spacing w:before="156" w:beforeLines="50" w:after="50" w:line="360" w:lineRule="exact"/>
        <w:ind w:firstLine="5100" w:firstLineChars="1700"/>
        <w:rPr>
          <w:rFonts w:ascii="宋体" w:hAnsi="宋体" w:eastAsia="宋体" w:cs="Times New Roman"/>
          <w:bCs/>
          <w:sz w:val="30"/>
          <w:szCs w:val="28"/>
        </w:rPr>
      </w:pPr>
    </w:p>
    <w:p w14:paraId="2CD36D2E">
      <w:pPr>
        <w:snapToGrid w:val="0"/>
        <w:spacing w:before="156" w:beforeLines="50" w:after="50" w:line="360" w:lineRule="exact"/>
        <w:ind w:firstLine="645"/>
        <w:jc w:val="center"/>
        <w:rPr>
          <w:rFonts w:ascii="宋体" w:hAnsi="宋体" w:eastAsia="宋体" w:cs="Times New Roman"/>
          <w:bCs/>
          <w:sz w:val="30"/>
          <w:szCs w:val="28"/>
        </w:rPr>
      </w:pPr>
    </w:p>
    <w:p w14:paraId="4E329F89">
      <w:pPr>
        <w:snapToGrid w:val="0"/>
        <w:spacing w:before="156" w:beforeLines="50" w:after="50" w:line="360" w:lineRule="exact"/>
        <w:ind w:firstLine="645"/>
        <w:jc w:val="center"/>
        <w:rPr>
          <w:rFonts w:ascii="宋体" w:hAnsi="宋体" w:eastAsia="宋体" w:cs="Times New Roman"/>
          <w:bCs/>
          <w:sz w:val="30"/>
          <w:szCs w:val="28"/>
        </w:rPr>
      </w:pPr>
    </w:p>
    <w:p w14:paraId="58537DAB">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2CBFF8AC">
      <w:pPr>
        <w:pStyle w:val="7"/>
        <w:rPr>
          <w:sz w:val="24"/>
          <w:szCs w:val="24"/>
        </w:rPr>
      </w:pPr>
    </w:p>
    <w:p w14:paraId="12209BF0">
      <w:pPr>
        <w:pStyle w:val="7"/>
        <w:rPr>
          <w:sz w:val="24"/>
          <w:szCs w:val="24"/>
        </w:rPr>
      </w:pPr>
    </w:p>
    <w:p w14:paraId="06FF3462">
      <w:pPr>
        <w:pStyle w:val="7"/>
        <w:rPr>
          <w:sz w:val="24"/>
          <w:szCs w:val="24"/>
        </w:rPr>
      </w:pPr>
    </w:p>
    <w:p w14:paraId="07FBBC3F">
      <w:pPr>
        <w:pStyle w:val="7"/>
        <w:rPr>
          <w:sz w:val="24"/>
          <w:szCs w:val="24"/>
        </w:rPr>
      </w:pPr>
    </w:p>
    <w:p w14:paraId="0AA53577">
      <w:pPr>
        <w:pStyle w:val="7"/>
        <w:rPr>
          <w:sz w:val="24"/>
          <w:szCs w:val="24"/>
        </w:rPr>
      </w:pPr>
    </w:p>
    <w:p w14:paraId="1C137EAD">
      <w:pPr>
        <w:pStyle w:val="7"/>
        <w:rPr>
          <w:sz w:val="24"/>
          <w:szCs w:val="24"/>
        </w:rPr>
      </w:pPr>
    </w:p>
    <w:p w14:paraId="72531295">
      <w:pPr>
        <w:pStyle w:val="7"/>
        <w:rPr>
          <w:sz w:val="24"/>
          <w:szCs w:val="24"/>
        </w:rPr>
      </w:pPr>
    </w:p>
    <w:p w14:paraId="52F4E7BB">
      <w:pPr>
        <w:pStyle w:val="7"/>
        <w:rPr>
          <w:sz w:val="24"/>
          <w:szCs w:val="24"/>
        </w:rPr>
      </w:pPr>
    </w:p>
    <w:p w14:paraId="2C206DBF">
      <w:pPr>
        <w:pStyle w:val="37"/>
        <w:rPr>
          <w:rFonts w:hint="eastAsia" w:ascii="宋体" w:hAnsi="Times New Roman" w:eastAsia="仿宋" w:cs="Times New Roman"/>
          <w:b/>
          <w:color w:val="auto"/>
          <w:kern w:val="2"/>
          <w:sz w:val="40"/>
          <w:szCs w:val="40"/>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sz w:val="28"/>
          <w:szCs w:val="44"/>
        </w:rPr>
        <w:t xml:space="preserve"> </w:t>
      </w:r>
      <w:r>
        <w:rPr>
          <w:rFonts w:hint="eastAsia" w:ascii="宋体" w:hAnsi="Times New Roman" w:eastAsia="仿宋" w:cs="Times New Roman"/>
          <w:b/>
          <w:color w:val="auto"/>
          <w:kern w:val="2"/>
          <w:sz w:val="40"/>
          <w:szCs w:val="40"/>
          <w:lang w:val="en-US" w:eastAsia="zh-CN" w:bidi="ar-SA"/>
        </w:rPr>
        <w:t>资格证明文件目录</w:t>
      </w:r>
    </w:p>
    <w:p w14:paraId="186F0609">
      <w:pPr>
        <w:snapToGrid w:val="0"/>
        <w:spacing w:line="360" w:lineRule="auto"/>
        <w:ind w:firstLine="640"/>
        <w:rPr>
          <w:rFonts w:hint="eastAsia" w:ascii="宋体" w:hAnsi="宋体"/>
          <w:color w:val="auto"/>
          <w:sz w:val="32"/>
          <w:szCs w:val="32"/>
          <w:highlight w:val="none"/>
        </w:rPr>
      </w:pPr>
      <w:r>
        <w:rPr>
          <w:rFonts w:hint="eastAsia" w:ascii="仿宋" w:hAnsi="仿宋" w:eastAsia="仿宋" w:cs="仿宋"/>
          <w:color w:val="auto"/>
          <w:sz w:val="36"/>
          <w:szCs w:val="36"/>
          <w:highlight w:val="none"/>
        </w:rPr>
        <w:t>根据</w:t>
      </w:r>
      <w:r>
        <w:rPr>
          <w:rFonts w:hint="eastAsia" w:ascii="仿宋" w:hAnsi="仿宋" w:eastAsia="仿宋" w:cs="仿宋"/>
          <w:color w:val="auto"/>
          <w:sz w:val="36"/>
          <w:szCs w:val="36"/>
          <w:highlight w:val="none"/>
          <w:lang w:val="en-US" w:eastAsia="zh-CN"/>
        </w:rPr>
        <w:t>报价</w:t>
      </w:r>
      <w:r>
        <w:rPr>
          <w:rFonts w:hint="eastAsia" w:ascii="仿宋" w:hAnsi="仿宋" w:eastAsia="仿宋" w:cs="仿宋"/>
          <w:color w:val="auto"/>
          <w:sz w:val="36"/>
          <w:szCs w:val="36"/>
          <w:highlight w:val="none"/>
        </w:rPr>
        <w:t>文件规定及</w:t>
      </w:r>
      <w:r>
        <w:rPr>
          <w:rFonts w:hint="eastAsia" w:ascii="仿宋" w:hAnsi="仿宋" w:eastAsia="仿宋" w:cs="仿宋"/>
          <w:color w:val="auto"/>
          <w:sz w:val="36"/>
          <w:szCs w:val="36"/>
          <w:highlight w:val="none"/>
          <w:lang w:val="en-US" w:eastAsia="zh-CN"/>
        </w:rPr>
        <w:t>报价人</w:t>
      </w:r>
      <w:r>
        <w:rPr>
          <w:rFonts w:hint="eastAsia" w:ascii="仿宋" w:hAnsi="仿宋" w:eastAsia="仿宋" w:cs="仿宋"/>
          <w:color w:val="auto"/>
          <w:sz w:val="36"/>
          <w:szCs w:val="36"/>
          <w:highlight w:val="none"/>
        </w:rPr>
        <w:t>提供的材料自行编写目录（部分格式后附）。</w:t>
      </w:r>
    </w:p>
    <w:p w14:paraId="79CDB608">
      <w:pPr>
        <w:pStyle w:val="7"/>
        <w:rPr>
          <w:sz w:val="24"/>
          <w:szCs w:val="24"/>
        </w:rPr>
      </w:pPr>
    </w:p>
    <w:p w14:paraId="32EB8D36">
      <w:pPr>
        <w:pStyle w:val="7"/>
        <w:rPr>
          <w:sz w:val="24"/>
          <w:szCs w:val="24"/>
        </w:rPr>
      </w:pPr>
    </w:p>
    <w:p w14:paraId="73418218">
      <w:pPr>
        <w:pStyle w:val="7"/>
        <w:rPr>
          <w:sz w:val="24"/>
          <w:szCs w:val="24"/>
        </w:rPr>
      </w:pPr>
    </w:p>
    <w:p w14:paraId="5656109E">
      <w:pPr>
        <w:pStyle w:val="7"/>
        <w:rPr>
          <w:sz w:val="24"/>
          <w:szCs w:val="24"/>
        </w:rPr>
      </w:pPr>
    </w:p>
    <w:p w14:paraId="4B4A401B">
      <w:pPr>
        <w:pStyle w:val="7"/>
        <w:rPr>
          <w:sz w:val="24"/>
          <w:szCs w:val="24"/>
        </w:rPr>
      </w:pPr>
    </w:p>
    <w:p w14:paraId="16E3B375">
      <w:pPr>
        <w:pStyle w:val="7"/>
        <w:rPr>
          <w:sz w:val="24"/>
          <w:szCs w:val="24"/>
        </w:rPr>
      </w:pPr>
    </w:p>
    <w:p w14:paraId="4EB65920">
      <w:pPr>
        <w:pStyle w:val="7"/>
        <w:rPr>
          <w:sz w:val="24"/>
          <w:szCs w:val="24"/>
        </w:rPr>
      </w:pPr>
    </w:p>
    <w:p w14:paraId="7DEE05E4">
      <w:pPr>
        <w:pStyle w:val="7"/>
        <w:rPr>
          <w:sz w:val="24"/>
          <w:szCs w:val="24"/>
        </w:rPr>
      </w:pPr>
    </w:p>
    <w:p w14:paraId="4EDCFDF8">
      <w:pPr>
        <w:pStyle w:val="7"/>
        <w:rPr>
          <w:sz w:val="24"/>
          <w:szCs w:val="24"/>
        </w:rPr>
      </w:pPr>
    </w:p>
    <w:p w14:paraId="1C7FBD22">
      <w:pPr>
        <w:pStyle w:val="7"/>
        <w:rPr>
          <w:sz w:val="24"/>
          <w:szCs w:val="24"/>
        </w:rPr>
      </w:pPr>
    </w:p>
    <w:p w14:paraId="63ABF27E">
      <w:pPr>
        <w:pStyle w:val="7"/>
        <w:rPr>
          <w:sz w:val="24"/>
          <w:szCs w:val="24"/>
        </w:rPr>
      </w:pPr>
    </w:p>
    <w:p w14:paraId="6D3746F4">
      <w:pPr>
        <w:pStyle w:val="7"/>
        <w:rPr>
          <w:sz w:val="24"/>
          <w:szCs w:val="24"/>
        </w:rPr>
      </w:pPr>
    </w:p>
    <w:p w14:paraId="436AA1AB">
      <w:pPr>
        <w:pStyle w:val="7"/>
        <w:rPr>
          <w:sz w:val="24"/>
          <w:szCs w:val="24"/>
        </w:rPr>
      </w:pPr>
    </w:p>
    <w:p w14:paraId="22412CDB">
      <w:pPr>
        <w:pStyle w:val="7"/>
        <w:rPr>
          <w:sz w:val="24"/>
          <w:szCs w:val="24"/>
        </w:rPr>
      </w:pPr>
    </w:p>
    <w:p w14:paraId="024F1B32">
      <w:pPr>
        <w:pStyle w:val="7"/>
        <w:rPr>
          <w:sz w:val="24"/>
          <w:szCs w:val="24"/>
        </w:rPr>
      </w:pPr>
    </w:p>
    <w:p w14:paraId="47EE6EE4">
      <w:pPr>
        <w:pStyle w:val="7"/>
        <w:rPr>
          <w:sz w:val="24"/>
          <w:szCs w:val="24"/>
        </w:rPr>
      </w:pPr>
    </w:p>
    <w:p w14:paraId="0C39A79C">
      <w:pPr>
        <w:pStyle w:val="7"/>
        <w:rPr>
          <w:sz w:val="24"/>
          <w:szCs w:val="24"/>
        </w:rPr>
      </w:pPr>
    </w:p>
    <w:p w14:paraId="18E912AB">
      <w:pPr>
        <w:pStyle w:val="7"/>
        <w:rPr>
          <w:sz w:val="24"/>
          <w:szCs w:val="24"/>
        </w:rPr>
      </w:pPr>
    </w:p>
    <w:p w14:paraId="2D6CEE59">
      <w:pPr>
        <w:pStyle w:val="7"/>
        <w:rPr>
          <w:sz w:val="24"/>
          <w:szCs w:val="24"/>
        </w:rPr>
      </w:pPr>
    </w:p>
    <w:p w14:paraId="2DACB372">
      <w:pPr>
        <w:pStyle w:val="7"/>
        <w:rPr>
          <w:sz w:val="24"/>
          <w:szCs w:val="24"/>
        </w:rPr>
      </w:pPr>
    </w:p>
    <w:p w14:paraId="31ECB35F">
      <w:pPr>
        <w:pStyle w:val="7"/>
        <w:rPr>
          <w:sz w:val="24"/>
          <w:szCs w:val="24"/>
        </w:rPr>
      </w:pPr>
    </w:p>
    <w:p w14:paraId="6BB80F19">
      <w:pPr>
        <w:pStyle w:val="7"/>
        <w:rPr>
          <w:sz w:val="24"/>
          <w:szCs w:val="24"/>
        </w:rPr>
      </w:pPr>
    </w:p>
    <w:p w14:paraId="1BF63744">
      <w:pPr>
        <w:pStyle w:val="7"/>
        <w:rPr>
          <w:sz w:val="24"/>
          <w:szCs w:val="24"/>
        </w:rPr>
      </w:pPr>
    </w:p>
    <w:p w14:paraId="339C0DF6">
      <w:pPr>
        <w:pStyle w:val="7"/>
        <w:rPr>
          <w:sz w:val="24"/>
          <w:szCs w:val="24"/>
        </w:rPr>
      </w:pPr>
    </w:p>
    <w:p w14:paraId="64722392">
      <w:pPr>
        <w:pStyle w:val="7"/>
        <w:rPr>
          <w:sz w:val="24"/>
          <w:szCs w:val="24"/>
        </w:rPr>
      </w:pPr>
    </w:p>
    <w:p w14:paraId="0D9B1A37">
      <w:pPr>
        <w:pStyle w:val="7"/>
        <w:rPr>
          <w:sz w:val="24"/>
          <w:szCs w:val="24"/>
        </w:rPr>
      </w:pPr>
    </w:p>
    <w:p w14:paraId="7ACDC200">
      <w:pPr>
        <w:pStyle w:val="7"/>
        <w:rPr>
          <w:sz w:val="24"/>
          <w:szCs w:val="24"/>
        </w:rPr>
      </w:pPr>
    </w:p>
    <w:p w14:paraId="555BAD77">
      <w:pPr>
        <w:pStyle w:val="7"/>
        <w:rPr>
          <w:sz w:val="24"/>
          <w:szCs w:val="24"/>
        </w:rPr>
      </w:pPr>
    </w:p>
    <w:p w14:paraId="50298D57">
      <w:pPr>
        <w:pStyle w:val="7"/>
        <w:rPr>
          <w:sz w:val="24"/>
          <w:szCs w:val="24"/>
        </w:rPr>
      </w:pPr>
    </w:p>
    <w:p w14:paraId="77C0623A">
      <w:pPr>
        <w:pStyle w:val="7"/>
        <w:rPr>
          <w:sz w:val="24"/>
          <w:szCs w:val="24"/>
        </w:rPr>
      </w:pPr>
    </w:p>
    <w:p w14:paraId="3B1CA22F">
      <w:pPr>
        <w:pStyle w:val="7"/>
        <w:rPr>
          <w:sz w:val="24"/>
          <w:szCs w:val="24"/>
        </w:rPr>
      </w:pPr>
    </w:p>
    <w:p w14:paraId="206EB449">
      <w:pPr>
        <w:pStyle w:val="7"/>
        <w:rPr>
          <w:sz w:val="24"/>
          <w:szCs w:val="24"/>
        </w:rPr>
      </w:pPr>
    </w:p>
    <w:p w14:paraId="1722A923">
      <w:pPr>
        <w:pStyle w:val="7"/>
        <w:rPr>
          <w:sz w:val="24"/>
          <w:szCs w:val="24"/>
        </w:rPr>
      </w:pPr>
    </w:p>
    <w:p w14:paraId="49C2F901">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w:t>
      </w:r>
      <w:r>
        <w:rPr>
          <w:rFonts w:hint="eastAsia" w:ascii="仿宋" w:hAnsi="仿宋" w:eastAsia="仿宋" w:cs="Times New Roman"/>
          <w:b/>
          <w:sz w:val="36"/>
          <w:szCs w:val="21"/>
          <w:lang w:eastAsia="zh-CN"/>
        </w:rPr>
        <w:t>（</w:t>
      </w:r>
      <w:r>
        <w:rPr>
          <w:rFonts w:hint="eastAsia" w:ascii="仿宋" w:hAnsi="仿宋" w:eastAsia="仿宋" w:cs="Times New Roman"/>
          <w:b/>
          <w:sz w:val="36"/>
          <w:szCs w:val="21"/>
        </w:rPr>
        <w:t>如营业执照、事业单位法人证书、执业许可证、自然人身份证等</w:t>
      </w:r>
      <w:r>
        <w:rPr>
          <w:rFonts w:hint="eastAsia" w:ascii="仿宋" w:hAnsi="仿宋" w:eastAsia="仿宋" w:cs="Times New Roman"/>
          <w:b/>
          <w:sz w:val="36"/>
          <w:szCs w:val="21"/>
          <w:lang w:eastAsia="zh-CN"/>
        </w:rPr>
        <w:t>）</w:t>
      </w:r>
    </w:p>
    <w:p w14:paraId="208C6C69">
      <w:pPr>
        <w:jc w:val="left"/>
        <w:outlineLvl w:val="1"/>
        <w:rPr>
          <w:rFonts w:ascii="仿宋" w:hAnsi="仿宋" w:eastAsia="仿宋" w:cs="Times New Roman"/>
          <w:b/>
          <w:sz w:val="36"/>
          <w:szCs w:val="21"/>
        </w:rPr>
      </w:pPr>
    </w:p>
    <w:p w14:paraId="70381A4F">
      <w:pPr>
        <w:jc w:val="left"/>
        <w:outlineLvl w:val="1"/>
        <w:rPr>
          <w:rFonts w:ascii="仿宋" w:hAnsi="仿宋" w:eastAsia="仿宋" w:cs="Times New Roman"/>
          <w:b/>
          <w:sz w:val="36"/>
          <w:szCs w:val="21"/>
        </w:rPr>
      </w:pPr>
    </w:p>
    <w:p w14:paraId="27AD5730">
      <w:pPr>
        <w:pStyle w:val="7"/>
      </w:pPr>
    </w:p>
    <w:p w14:paraId="739584C9">
      <w:pPr>
        <w:pStyle w:val="7"/>
      </w:pPr>
    </w:p>
    <w:p w14:paraId="5C5EC382">
      <w:pPr>
        <w:pStyle w:val="7"/>
      </w:pPr>
    </w:p>
    <w:p w14:paraId="4D1E28EA">
      <w:pPr>
        <w:pStyle w:val="7"/>
      </w:pPr>
    </w:p>
    <w:p w14:paraId="135A2CC1">
      <w:pPr>
        <w:pStyle w:val="7"/>
      </w:pPr>
    </w:p>
    <w:p w14:paraId="4DFC9FDD">
      <w:pPr>
        <w:pStyle w:val="7"/>
      </w:pPr>
    </w:p>
    <w:p w14:paraId="60A282D9">
      <w:pPr>
        <w:pStyle w:val="7"/>
      </w:pPr>
    </w:p>
    <w:p w14:paraId="633D4097">
      <w:pPr>
        <w:pStyle w:val="7"/>
      </w:pPr>
    </w:p>
    <w:p w14:paraId="02E19134">
      <w:pPr>
        <w:pStyle w:val="7"/>
      </w:pPr>
    </w:p>
    <w:p w14:paraId="3BE28DBF">
      <w:pPr>
        <w:pStyle w:val="7"/>
      </w:pPr>
    </w:p>
    <w:p w14:paraId="4D4B07C8">
      <w:pPr>
        <w:pStyle w:val="7"/>
      </w:pPr>
    </w:p>
    <w:p w14:paraId="0683A70F">
      <w:pPr>
        <w:pStyle w:val="7"/>
      </w:pPr>
    </w:p>
    <w:p w14:paraId="58486291">
      <w:pPr>
        <w:pStyle w:val="7"/>
      </w:pPr>
    </w:p>
    <w:p w14:paraId="7EBF38F6">
      <w:pPr>
        <w:pStyle w:val="7"/>
      </w:pPr>
    </w:p>
    <w:p w14:paraId="0DEF85EC">
      <w:pPr>
        <w:pStyle w:val="7"/>
      </w:pPr>
    </w:p>
    <w:p w14:paraId="568AB681">
      <w:pPr>
        <w:pStyle w:val="7"/>
      </w:pPr>
    </w:p>
    <w:p w14:paraId="75CF8CCE">
      <w:pPr>
        <w:pStyle w:val="7"/>
      </w:pPr>
    </w:p>
    <w:p w14:paraId="43B506B2">
      <w:pPr>
        <w:pStyle w:val="7"/>
      </w:pPr>
    </w:p>
    <w:p w14:paraId="47DE2199">
      <w:pPr>
        <w:pStyle w:val="7"/>
      </w:pPr>
    </w:p>
    <w:p w14:paraId="71247007">
      <w:pPr>
        <w:pStyle w:val="7"/>
      </w:pPr>
    </w:p>
    <w:p w14:paraId="0CBD26D6">
      <w:pPr>
        <w:pStyle w:val="7"/>
      </w:pPr>
    </w:p>
    <w:p w14:paraId="10517574">
      <w:pPr>
        <w:pStyle w:val="7"/>
      </w:pPr>
    </w:p>
    <w:p w14:paraId="42AC2D8E">
      <w:pPr>
        <w:pStyle w:val="7"/>
      </w:pPr>
    </w:p>
    <w:p w14:paraId="7578E787">
      <w:pPr>
        <w:pStyle w:val="7"/>
      </w:pPr>
    </w:p>
    <w:p w14:paraId="63A1FEE1">
      <w:pPr>
        <w:pStyle w:val="7"/>
      </w:pPr>
    </w:p>
    <w:p w14:paraId="61FE5F38">
      <w:pPr>
        <w:pStyle w:val="7"/>
      </w:pPr>
    </w:p>
    <w:p w14:paraId="1A8AFCE7">
      <w:pPr>
        <w:pStyle w:val="7"/>
      </w:pPr>
    </w:p>
    <w:p w14:paraId="2008DA94">
      <w:pPr>
        <w:pStyle w:val="7"/>
      </w:pPr>
    </w:p>
    <w:p w14:paraId="3F793452">
      <w:pPr>
        <w:pStyle w:val="7"/>
      </w:pPr>
    </w:p>
    <w:p w14:paraId="10A56257">
      <w:pPr>
        <w:pStyle w:val="7"/>
      </w:pPr>
    </w:p>
    <w:p w14:paraId="6EF51BB8">
      <w:pPr>
        <w:pStyle w:val="7"/>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48A53EB3">
      <w:pPr>
        <w:snapToGrid w:val="0"/>
        <w:spacing w:before="312" w:beforeLines="100" w:after="312" w:afterLines="100" w:line="360" w:lineRule="auto"/>
        <w:jc w:val="center"/>
        <w:rPr>
          <w:rFonts w:ascii="宋体" w:hAnsi="Times New Roman" w:eastAsia="仿宋" w:cs="Times New Roman"/>
          <w:b/>
          <w:sz w:val="36"/>
          <w:szCs w:val="36"/>
        </w:rPr>
      </w:pPr>
      <w:r>
        <w:rPr>
          <w:rFonts w:hint="eastAsia" w:ascii="宋体" w:hAnsi="Times New Roman" w:eastAsia="仿宋" w:cs="Times New Roman"/>
          <w:b/>
          <w:sz w:val="36"/>
          <w:szCs w:val="36"/>
        </w:rPr>
        <w:t>法定代表人身份证明</w:t>
      </w:r>
    </w:p>
    <w:p w14:paraId="637B4991">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报 价 人：</w:t>
      </w:r>
      <w:r>
        <w:rPr>
          <w:rFonts w:hint="eastAsia" w:ascii="仿宋" w:hAnsi="仿宋" w:eastAsia="仿宋" w:cs="仿宋"/>
          <w:sz w:val="32"/>
          <w:szCs w:val="32"/>
          <w:u w:val="single"/>
        </w:rPr>
        <w:t xml:space="preserve">                                                        </w:t>
      </w:r>
    </w:p>
    <w:p w14:paraId="15FF0F30">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205CFE2">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姓    名：</w:t>
      </w:r>
      <w:r>
        <w:rPr>
          <w:rFonts w:hint="eastAsia" w:ascii="仿宋" w:hAnsi="仿宋" w:eastAsia="仿宋" w:cs="仿宋"/>
          <w:sz w:val="32"/>
          <w:szCs w:val="32"/>
          <w:u w:val="single"/>
        </w:rPr>
        <w:t xml:space="preserve">                     </w:t>
      </w:r>
      <w:r>
        <w:rPr>
          <w:rFonts w:hint="eastAsia" w:ascii="仿宋" w:hAnsi="仿宋" w:eastAsia="仿宋" w:cs="仿宋"/>
          <w:sz w:val="32"/>
          <w:szCs w:val="32"/>
        </w:rPr>
        <w:t>性      别：</w:t>
      </w:r>
      <w:r>
        <w:rPr>
          <w:rFonts w:hint="eastAsia" w:ascii="仿宋" w:hAnsi="仿宋" w:eastAsia="仿宋" w:cs="仿宋"/>
          <w:sz w:val="32"/>
          <w:szCs w:val="32"/>
          <w:u w:val="single"/>
        </w:rPr>
        <w:t xml:space="preserve">          </w:t>
      </w:r>
    </w:p>
    <w:p w14:paraId="3CE581A4">
      <w:pPr>
        <w:spacing w:line="360" w:lineRule="auto"/>
        <w:ind w:left="540"/>
        <w:jc w:val="left"/>
        <w:rPr>
          <w:rFonts w:hint="eastAsia" w:ascii="仿宋" w:hAnsi="仿宋" w:eastAsia="仿宋" w:cs="仿宋"/>
          <w:sz w:val="32"/>
          <w:szCs w:val="32"/>
          <w:u w:val="single"/>
        </w:rPr>
      </w:pPr>
      <w:r>
        <w:rPr>
          <w:rFonts w:hint="eastAsia" w:ascii="仿宋" w:hAnsi="仿宋" w:eastAsia="仿宋" w:cs="仿宋"/>
          <w:sz w:val="32"/>
          <w:szCs w:val="32"/>
        </w:rPr>
        <w:t>年    龄：</w:t>
      </w:r>
      <w:r>
        <w:rPr>
          <w:rFonts w:hint="eastAsia" w:ascii="仿宋" w:hAnsi="仿宋" w:eastAsia="仿宋" w:cs="仿宋"/>
          <w:sz w:val="32"/>
          <w:szCs w:val="32"/>
          <w:u w:val="single"/>
        </w:rPr>
        <w:t xml:space="preserve">                     </w:t>
      </w:r>
      <w:r>
        <w:rPr>
          <w:rFonts w:hint="eastAsia" w:ascii="仿宋" w:hAnsi="仿宋" w:eastAsia="仿宋" w:cs="仿宋"/>
          <w:sz w:val="32"/>
          <w:szCs w:val="32"/>
        </w:rPr>
        <w:t>职      务：</w:t>
      </w:r>
      <w:r>
        <w:rPr>
          <w:rFonts w:hint="eastAsia" w:ascii="仿宋" w:hAnsi="仿宋" w:eastAsia="仿宋" w:cs="仿宋"/>
          <w:sz w:val="32"/>
          <w:szCs w:val="32"/>
          <w:u w:val="single"/>
        </w:rPr>
        <w:t xml:space="preserve">          </w:t>
      </w:r>
    </w:p>
    <w:p w14:paraId="6C65E60F">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p>
    <w:p w14:paraId="6E30CBD8">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系</w:t>
      </w:r>
      <w:r>
        <w:rPr>
          <w:rFonts w:hint="eastAsia" w:ascii="仿宋" w:hAnsi="仿宋" w:eastAsia="仿宋" w:cs="仿宋"/>
          <w:sz w:val="32"/>
          <w:szCs w:val="32"/>
          <w:u w:val="single"/>
        </w:rPr>
        <w:t xml:space="preserve">            （报价人名称）              </w:t>
      </w:r>
      <w:r>
        <w:rPr>
          <w:rFonts w:hint="eastAsia" w:ascii="仿宋" w:hAnsi="仿宋" w:eastAsia="仿宋" w:cs="仿宋"/>
          <w:sz w:val="32"/>
          <w:szCs w:val="32"/>
        </w:rPr>
        <w:t>的法定代表人。</w:t>
      </w:r>
    </w:p>
    <w:p w14:paraId="663C7246">
      <w:pPr>
        <w:spacing w:line="360" w:lineRule="auto"/>
        <w:ind w:left="540"/>
        <w:jc w:val="left"/>
        <w:rPr>
          <w:rFonts w:hint="eastAsia" w:ascii="仿宋" w:hAnsi="仿宋" w:eastAsia="仿宋" w:cs="仿宋"/>
          <w:sz w:val="32"/>
          <w:szCs w:val="32"/>
        </w:rPr>
      </w:pPr>
      <w:r>
        <w:rPr>
          <w:rFonts w:hint="eastAsia" w:ascii="仿宋" w:hAnsi="仿宋" w:eastAsia="仿宋" w:cs="仿宋"/>
          <w:sz w:val="32"/>
          <w:szCs w:val="32"/>
        </w:rPr>
        <w:t>特此证明。</w:t>
      </w:r>
    </w:p>
    <w:p w14:paraId="12514C3B">
      <w:pPr>
        <w:spacing w:line="360" w:lineRule="auto"/>
        <w:ind w:left="540"/>
        <w:jc w:val="left"/>
        <w:rPr>
          <w:rFonts w:hint="eastAsia" w:ascii="仿宋" w:hAnsi="仿宋" w:eastAsia="仿宋" w:cs="仿宋"/>
          <w:sz w:val="32"/>
          <w:szCs w:val="32"/>
        </w:rPr>
      </w:pPr>
    </w:p>
    <w:p w14:paraId="4F78DCAA">
      <w:pPr>
        <w:spacing w:line="360" w:lineRule="auto"/>
        <w:ind w:left="540"/>
        <w:jc w:val="left"/>
        <w:rPr>
          <w:rFonts w:hint="eastAsia" w:ascii="仿宋" w:hAnsi="仿宋" w:eastAsia="仿宋" w:cs="仿宋"/>
          <w:b/>
          <w:bCs/>
          <w:sz w:val="32"/>
          <w:szCs w:val="32"/>
        </w:rPr>
      </w:pPr>
      <w:r>
        <w:rPr>
          <w:rFonts w:hint="eastAsia" w:ascii="仿宋" w:hAnsi="仿宋" w:eastAsia="仿宋" w:cs="仿宋"/>
          <w:b/>
          <w:bCs/>
          <w:sz w:val="32"/>
          <w:szCs w:val="32"/>
        </w:rPr>
        <w:t>附件：法定代表人有效身份证正反面复印件</w:t>
      </w:r>
    </w:p>
    <w:p w14:paraId="5AED1551">
      <w:pPr>
        <w:spacing w:line="360" w:lineRule="auto"/>
        <w:ind w:left="540"/>
        <w:jc w:val="left"/>
        <w:rPr>
          <w:rFonts w:hint="eastAsia" w:ascii="仿宋" w:hAnsi="仿宋" w:eastAsia="仿宋" w:cs="仿宋"/>
          <w:sz w:val="32"/>
          <w:szCs w:val="32"/>
        </w:rPr>
      </w:pPr>
    </w:p>
    <w:p w14:paraId="6882E0A0">
      <w:pPr>
        <w:tabs>
          <w:tab w:val="left" w:pos="5529"/>
        </w:tabs>
        <w:wordWrap w:val="0"/>
        <w:spacing w:line="480" w:lineRule="auto"/>
        <w:ind w:firstLine="5120" w:firstLineChars="1600"/>
        <w:jc w:val="both"/>
        <w:rPr>
          <w:rFonts w:hint="eastAsia" w:ascii="仿宋" w:hAnsi="仿宋" w:eastAsia="仿宋" w:cs="仿宋"/>
          <w:sz w:val="32"/>
          <w:szCs w:val="32"/>
          <w:u w:val="single"/>
        </w:rPr>
      </w:pPr>
      <w:r>
        <w:rPr>
          <w:rFonts w:hint="eastAsia" w:ascii="仿宋" w:hAnsi="仿宋" w:eastAsia="仿宋" w:cs="仿宋"/>
          <w:sz w:val="32"/>
          <w:szCs w:val="32"/>
        </w:rPr>
        <w:t>报价人（</w:t>
      </w:r>
      <w:r>
        <w:rPr>
          <w:rFonts w:hint="eastAsia" w:ascii="仿宋" w:hAnsi="仿宋" w:eastAsia="仿宋" w:cs="仿宋"/>
          <w:b/>
          <w:bCs/>
          <w:sz w:val="32"/>
          <w:szCs w:val="32"/>
        </w:rPr>
        <w:t>公章</w:t>
      </w:r>
      <w:r>
        <w:rPr>
          <w:rFonts w:hint="eastAsia" w:ascii="仿宋" w:hAnsi="仿宋" w:eastAsia="仿宋" w:cs="仿宋"/>
          <w:sz w:val="32"/>
          <w:szCs w:val="32"/>
        </w:rPr>
        <w:t xml:space="preserve">）： </w:t>
      </w:r>
      <w:r>
        <w:rPr>
          <w:rFonts w:hint="eastAsia" w:ascii="仿宋" w:hAnsi="仿宋" w:eastAsia="仿宋" w:cs="仿宋"/>
          <w:kern w:val="0"/>
          <w:sz w:val="32"/>
          <w:szCs w:val="32"/>
          <w:u w:val="single"/>
        </w:rPr>
        <w:t xml:space="preserve">                 </w:t>
      </w:r>
      <w:r>
        <w:rPr>
          <w:rFonts w:hint="eastAsia" w:ascii="仿宋" w:hAnsi="仿宋" w:eastAsia="仿宋" w:cs="仿宋"/>
          <w:kern w:val="0"/>
          <w:sz w:val="32"/>
          <w:szCs w:val="32"/>
          <w:u w:val="single"/>
          <w:lang w:val="en-US" w:eastAsia="zh-CN"/>
        </w:rPr>
        <w:t xml:space="preserve">     </w:t>
      </w:r>
      <w:r>
        <w:rPr>
          <w:rFonts w:hint="eastAsia" w:ascii="仿宋" w:hAnsi="仿宋" w:eastAsia="仿宋" w:cs="仿宋"/>
          <w:kern w:val="0"/>
          <w:sz w:val="32"/>
          <w:szCs w:val="32"/>
          <w:u w:val="single"/>
        </w:rPr>
        <w:t xml:space="preserve"> </w:t>
      </w:r>
    </w:p>
    <w:p w14:paraId="094C95B7">
      <w:pPr>
        <w:tabs>
          <w:tab w:val="left" w:pos="5529"/>
        </w:tabs>
        <w:wordWrap w:val="0"/>
        <w:spacing w:line="360" w:lineRule="auto"/>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法定代表人</w:t>
      </w:r>
      <w:r>
        <w:rPr>
          <w:rFonts w:hint="eastAsia" w:ascii="仿宋" w:hAnsi="仿宋" w:eastAsia="仿宋" w:cs="仿宋"/>
          <w:sz w:val="32"/>
          <w:szCs w:val="32"/>
          <w:lang w:eastAsia="zh-CN"/>
        </w:rPr>
        <w:t>（</w:t>
      </w:r>
      <w:r>
        <w:rPr>
          <w:rFonts w:hint="eastAsia" w:ascii="仿宋" w:hAnsi="仿宋" w:eastAsia="仿宋" w:cs="仿宋"/>
          <w:b/>
          <w:bCs/>
          <w:sz w:val="32"/>
          <w:szCs w:val="32"/>
        </w:rPr>
        <w:t>签字</w:t>
      </w:r>
      <w:r>
        <w:rPr>
          <w:rFonts w:hint="eastAsia" w:ascii="仿宋" w:hAnsi="仿宋" w:eastAsia="仿宋" w:cs="仿宋"/>
          <w:b/>
          <w:bCs/>
          <w:sz w:val="32"/>
          <w:szCs w:val="32"/>
          <w:lang w:eastAsia="zh-CN"/>
        </w:rPr>
        <w:t>）</w:t>
      </w:r>
      <w:r>
        <w:rPr>
          <w:rFonts w:hint="eastAsia" w:ascii="仿宋" w:hAnsi="仿宋" w:eastAsia="仿宋" w:cs="仿宋"/>
          <w:sz w:val="32"/>
          <w:szCs w:val="32"/>
        </w:rPr>
        <w:t>：</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7AF61AC2">
      <w:pPr>
        <w:pStyle w:val="7"/>
        <w:rPr>
          <w:rFonts w:hint="eastAsia" w:ascii="仿宋" w:hAnsi="仿宋" w:eastAsia="仿宋" w:cs="仿宋"/>
          <w:sz w:val="32"/>
          <w:szCs w:val="32"/>
        </w:rPr>
      </w:pPr>
    </w:p>
    <w:p w14:paraId="27A51BF8">
      <w:pPr>
        <w:spacing w:line="480" w:lineRule="auto"/>
        <w:ind w:firstLine="640" w:firstLineChars="200"/>
        <w:jc w:val="right"/>
        <w:rPr>
          <w:rFonts w:hint="eastAsia" w:ascii="仿宋" w:hAnsi="仿宋" w:eastAsia="仿宋" w:cs="仿宋"/>
          <w:sz w:val="32"/>
          <w:szCs w:val="32"/>
        </w:rPr>
      </w:pP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w:t>
      </w:r>
    </w:p>
    <w:p w14:paraId="017422BF">
      <w:pPr>
        <w:snapToGrid w:val="0"/>
        <w:spacing w:before="156" w:beforeLines="50" w:after="50" w:line="360" w:lineRule="auto"/>
        <w:jc w:val="center"/>
        <w:rPr>
          <w:rFonts w:hint="eastAsia" w:ascii="仿宋" w:hAnsi="仿宋" w:eastAsia="仿宋" w:cs="仿宋"/>
          <w:b/>
          <w:sz w:val="32"/>
          <w:szCs w:val="32"/>
        </w:rPr>
      </w:pPr>
    </w:p>
    <w:p w14:paraId="740A951A">
      <w:pPr>
        <w:snapToGrid w:val="0"/>
        <w:spacing w:before="156" w:beforeLines="50" w:after="50" w:line="360" w:lineRule="auto"/>
        <w:jc w:val="left"/>
        <w:rPr>
          <w:rFonts w:hint="eastAsia" w:ascii="仿宋" w:hAnsi="仿宋" w:eastAsia="仿宋" w:cs="仿宋"/>
          <w:b/>
          <w:sz w:val="32"/>
          <w:szCs w:val="32"/>
        </w:rPr>
      </w:pPr>
      <w:r>
        <w:rPr>
          <w:rFonts w:hint="eastAsia" w:ascii="仿宋" w:hAnsi="仿宋" w:eastAsia="仿宋" w:cs="仿宋"/>
          <w:sz w:val="32"/>
          <w:szCs w:val="32"/>
        </w:rPr>
        <w:t>注：自然人投标的无需提供</w:t>
      </w:r>
    </w:p>
    <w:p w14:paraId="49A6B5ED">
      <w:pPr>
        <w:rPr>
          <w:rFonts w:ascii="仿宋" w:hAnsi="仿宋" w:eastAsia="仿宋"/>
          <w:b/>
          <w:sz w:val="36"/>
          <w:szCs w:val="36"/>
        </w:rPr>
      </w:pPr>
      <w:r>
        <w:rPr>
          <w:rFonts w:hint="eastAsia" w:ascii="仿宋" w:hAnsi="仿宋" w:eastAsia="仿宋" w:cs="仿宋"/>
          <w:sz w:val="32"/>
          <w:szCs w:val="32"/>
        </w:rPr>
        <w:br w:type="page"/>
      </w:r>
      <w:r>
        <w:rPr>
          <w:rFonts w:hint="eastAsia" w:ascii="仿宋" w:hAnsi="仿宋" w:eastAsia="仿宋" w:cs="仿宋"/>
          <w:sz w:val="32"/>
          <w:szCs w:val="32"/>
          <w:lang w:eastAsia="zh-CN"/>
        </w:rPr>
        <w:t>五、</w:t>
      </w:r>
      <w:r>
        <w:rPr>
          <w:rFonts w:hint="eastAsia" w:ascii="仿宋" w:hAnsi="仿宋" w:eastAsia="仿宋"/>
          <w:b/>
          <w:sz w:val="36"/>
          <w:szCs w:val="36"/>
        </w:rPr>
        <w:t>授权委托书格式</w:t>
      </w:r>
    </w:p>
    <w:p w14:paraId="2F82378C">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7B853078">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376E2D39">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117AE306">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w:t>
      </w:r>
      <w:r>
        <w:rPr>
          <w:rFonts w:hint="eastAsia" w:ascii="仿宋" w:hAnsi="仿宋" w:eastAsia="仿宋" w:cs="Times New Roman"/>
          <w:sz w:val="30"/>
          <w:szCs w:val="30"/>
          <w:lang w:eastAsia="zh-CN"/>
        </w:rPr>
        <w:t>，</w:t>
      </w:r>
      <w:r>
        <w:rPr>
          <w:rFonts w:hint="eastAsia" w:ascii="仿宋" w:hAnsi="仿宋" w:eastAsia="仿宋" w:cs="Times New Roman"/>
          <w:sz w:val="30"/>
          <w:szCs w:val="30"/>
        </w:rPr>
        <w:t>签署相关文件。</w:t>
      </w:r>
    </w:p>
    <w:p w14:paraId="12EF66EE">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3C5F46E7">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657DA39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35F0454E">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488CC51">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62D7097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6A651ACA">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3FC94AA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C184B7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67047D16">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582E919E">
      <w:pPr>
        <w:spacing w:line="360" w:lineRule="auto"/>
        <w:ind w:left="0" w:leftChars="0" w:firstLine="0" w:firstLineChars="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618E503A">
      <w:pPr>
        <w:spacing w:line="360" w:lineRule="auto"/>
        <w:ind w:left="0" w:leftChars="0" w:firstLine="0" w:firstLineChars="0"/>
        <w:contextualSpacing/>
        <w:jc w:val="left"/>
        <w:rPr>
          <w:rFonts w:ascii="宋体" w:hAnsi="Times New Roman" w:eastAsia="仿宋" w:cs="Times New Roman"/>
          <w:b/>
          <w:bCs/>
          <w:kern w:val="0"/>
          <w:sz w:val="30"/>
          <w:szCs w:val="32"/>
        </w:rPr>
      </w:pPr>
      <w:r>
        <w:rPr>
          <w:rFonts w:hint="eastAsia" w:ascii="仿宋" w:hAnsi="仿宋" w:eastAsia="仿宋" w:cs="仿宋_GB2312"/>
          <w:sz w:val="30"/>
          <w:szCs w:val="30"/>
        </w:rPr>
        <w:t>2.法人、其他组织投标时“我方”是指“我单位”，自然人投标时“我方”是指“本人”。</w:t>
      </w:r>
    </w:p>
    <w:p w14:paraId="09E1A88C">
      <w:pPr>
        <w:pStyle w:val="7"/>
      </w:pPr>
    </w:p>
    <w:p w14:paraId="3F5C69F4">
      <w:pPr>
        <w:jc w:val="left"/>
        <w:outlineLvl w:val="1"/>
        <w:rPr>
          <w:rFonts w:hint="eastAsia" w:ascii="仿宋" w:hAnsi="仿宋" w:eastAsia="仿宋" w:cs="Times New Roman"/>
          <w:b/>
          <w:sz w:val="36"/>
          <w:szCs w:val="21"/>
          <w:lang w:val="en-US" w:eastAsia="zh-CN"/>
        </w:rPr>
      </w:pPr>
    </w:p>
    <w:p w14:paraId="0E22F2A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六、</w:t>
      </w:r>
      <w:r>
        <w:rPr>
          <w:rFonts w:hint="eastAsia" w:ascii="仿宋" w:hAnsi="仿宋" w:eastAsia="仿宋" w:cs="Times New Roman"/>
          <w:b/>
          <w:sz w:val="36"/>
          <w:szCs w:val="21"/>
        </w:rPr>
        <w:t>报价人声明格式</w:t>
      </w:r>
    </w:p>
    <w:p w14:paraId="0C420C96">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74348974">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6F9A9B69">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项目（项目编号：</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）的采购活动。我方在此郑重声明：</w:t>
      </w:r>
    </w:p>
    <w:p w14:paraId="598E8F5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5E45B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055A71A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58F8C">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10C74454">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7F60A65E">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3F0AAE2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7320C85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7EFBC62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30FDD86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3C02538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43ACC83B">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w:t>
      </w:r>
      <w:r>
        <w:rPr>
          <w:rFonts w:hint="eastAsia" w:ascii="仿宋" w:hAnsi="仿宋" w:eastAsia="仿宋" w:cs="Times New Roman"/>
          <w:sz w:val="30"/>
          <w:szCs w:val="30"/>
          <w:lang w:eastAsia="zh-CN"/>
        </w:rPr>
        <w:t>本</w:t>
      </w:r>
      <w:r>
        <w:rPr>
          <w:rFonts w:hint="eastAsia" w:ascii="仿宋" w:hAnsi="仿宋" w:eastAsia="仿宋" w:cs="Times New Roman"/>
          <w:sz w:val="30"/>
          <w:szCs w:val="30"/>
        </w:rPr>
        <w:t>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778CFFB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w:t>
      </w:r>
      <w:r>
        <w:rPr>
          <w:rFonts w:hint="eastAsia" w:ascii="仿宋" w:hAnsi="仿宋" w:eastAsia="仿宋" w:cs="Times New Roman"/>
          <w:sz w:val="30"/>
          <w:szCs w:val="30"/>
          <w:lang w:eastAsia="zh-CN"/>
        </w:rPr>
        <w:t>，且</w:t>
      </w:r>
      <w:r>
        <w:rPr>
          <w:rFonts w:hint="eastAsia" w:ascii="仿宋" w:hAnsi="仿宋" w:eastAsia="仿宋" w:cs="Times New Roman"/>
          <w:sz w:val="30"/>
          <w:szCs w:val="30"/>
        </w:rPr>
        <w:t>无侵犯第三方权益</w:t>
      </w:r>
      <w:r>
        <w:rPr>
          <w:rFonts w:hint="eastAsia" w:ascii="仿宋" w:hAnsi="仿宋" w:eastAsia="仿宋" w:cs="Times New Roman"/>
          <w:sz w:val="30"/>
          <w:szCs w:val="30"/>
          <w:lang w:eastAsia="zh-CN"/>
        </w:rPr>
        <w:t>的情况，</w:t>
      </w:r>
      <w:r>
        <w:rPr>
          <w:rFonts w:hint="eastAsia" w:ascii="仿宋" w:hAnsi="仿宋" w:eastAsia="仿宋" w:cs="Times New Roman"/>
          <w:sz w:val="30"/>
          <w:szCs w:val="30"/>
        </w:rPr>
        <w:t>所投货物均为原厂制造全新正品</w:t>
      </w:r>
      <w:r>
        <w:rPr>
          <w:rFonts w:hint="eastAsia" w:ascii="仿宋" w:hAnsi="仿宋" w:eastAsia="仿宋" w:cs="Times New Roman"/>
          <w:sz w:val="30"/>
          <w:szCs w:val="30"/>
          <w:lang w:eastAsia="zh-CN"/>
        </w:rPr>
        <w:t>，</w:t>
      </w:r>
      <w:r>
        <w:rPr>
          <w:rFonts w:hint="eastAsia" w:ascii="仿宋" w:hAnsi="仿宋" w:eastAsia="仿宋" w:cs="Times New Roman"/>
          <w:sz w:val="30"/>
          <w:szCs w:val="30"/>
        </w:rPr>
        <w:t>不存在以低质替代品、残次品冒充原厂合格产品</w:t>
      </w:r>
      <w:r>
        <w:rPr>
          <w:rFonts w:hint="eastAsia" w:ascii="仿宋" w:hAnsi="仿宋" w:eastAsia="仿宋" w:cs="Times New Roman"/>
          <w:sz w:val="30"/>
          <w:szCs w:val="30"/>
          <w:lang w:eastAsia="zh-CN"/>
        </w:rPr>
        <w:t>的情况。</w:t>
      </w:r>
      <w:r>
        <w:rPr>
          <w:rFonts w:hint="eastAsia" w:ascii="仿宋" w:hAnsi="仿宋" w:eastAsia="仿宋" w:cs="Times New Roman"/>
          <w:sz w:val="30"/>
          <w:szCs w:val="30"/>
        </w:rPr>
        <w:t>若发现使用假冒伪劣产品或侵犯第三方权益的行为，我方自愿接受采购人采取以下措施：</w:t>
      </w:r>
    </w:p>
    <w:p w14:paraId="020B9829">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510F0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6A6F059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62978B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1FA9E42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4E5A47F4">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528FABB4">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774D0DC">
      <w:pPr>
        <w:jc w:val="left"/>
        <w:outlineLvl w:val="1"/>
        <w:rPr>
          <w:rFonts w:hint="eastAsia" w:ascii="仿宋" w:hAnsi="仿宋" w:eastAsia="仿宋" w:cs="Times New Roman"/>
          <w:b/>
          <w:sz w:val="30"/>
          <w:szCs w:val="30"/>
        </w:rPr>
      </w:pPr>
      <w:r>
        <w:rPr>
          <w:rFonts w:hint="eastAsia" w:ascii="仿宋" w:hAnsi="仿宋" w:eastAsia="仿宋" w:cs="Times New Roman"/>
          <w:b/>
          <w:sz w:val="30"/>
          <w:szCs w:val="30"/>
        </w:rPr>
        <w:t>注：报价人的报价声明必须由法定代表人或委托代理人在规定签章处签字并加盖报价人公章，否则响应文件按无效响应处理。</w:t>
      </w:r>
    </w:p>
    <w:p w14:paraId="4C152B93">
      <w:pPr>
        <w:jc w:val="left"/>
        <w:outlineLvl w:val="1"/>
        <w:rPr>
          <w:rFonts w:hint="eastAsia" w:ascii="仿宋" w:hAnsi="仿宋" w:eastAsia="仿宋" w:cs="Times New Roman"/>
          <w:b/>
          <w:sz w:val="30"/>
          <w:szCs w:val="30"/>
        </w:rPr>
      </w:pPr>
    </w:p>
    <w:p w14:paraId="5B1C9FA2">
      <w:pPr>
        <w:jc w:val="left"/>
        <w:outlineLvl w:val="1"/>
        <w:rPr>
          <w:rFonts w:hint="eastAsia" w:ascii="仿宋" w:hAnsi="仿宋" w:eastAsia="仿宋" w:cs="Times New Roman"/>
          <w:b/>
          <w:sz w:val="30"/>
          <w:szCs w:val="30"/>
        </w:rPr>
      </w:pPr>
    </w:p>
    <w:p w14:paraId="76DE41DC">
      <w:pPr>
        <w:jc w:val="left"/>
        <w:outlineLvl w:val="1"/>
        <w:rPr>
          <w:rFonts w:hint="eastAsia" w:ascii="仿宋" w:hAnsi="仿宋" w:eastAsia="仿宋" w:cs="Times New Roman"/>
          <w:b/>
          <w:sz w:val="30"/>
          <w:szCs w:val="30"/>
        </w:rPr>
      </w:pPr>
    </w:p>
    <w:p w14:paraId="5C475557">
      <w:pPr>
        <w:jc w:val="left"/>
        <w:outlineLvl w:val="1"/>
        <w:rPr>
          <w:rFonts w:hint="eastAsia" w:ascii="仿宋" w:hAnsi="仿宋" w:eastAsia="仿宋" w:cs="Times New Roman"/>
          <w:b/>
          <w:sz w:val="30"/>
          <w:szCs w:val="30"/>
        </w:rPr>
      </w:pPr>
    </w:p>
    <w:p w14:paraId="33436BC2">
      <w:pPr>
        <w:jc w:val="left"/>
        <w:outlineLvl w:val="1"/>
        <w:rPr>
          <w:rFonts w:hint="eastAsia" w:ascii="仿宋" w:hAnsi="仿宋" w:eastAsia="仿宋" w:cs="Times New Roman"/>
          <w:b/>
          <w:sz w:val="30"/>
          <w:szCs w:val="30"/>
        </w:rPr>
      </w:pPr>
    </w:p>
    <w:p w14:paraId="55491F36">
      <w:pPr>
        <w:jc w:val="left"/>
        <w:outlineLvl w:val="1"/>
        <w:rPr>
          <w:rFonts w:hint="eastAsia" w:ascii="仿宋" w:hAnsi="仿宋" w:eastAsia="仿宋" w:cs="Times New Roman"/>
          <w:b/>
          <w:sz w:val="28"/>
          <w:szCs w:val="18"/>
        </w:rPr>
      </w:pPr>
    </w:p>
    <w:p w14:paraId="25224699">
      <w:pPr>
        <w:jc w:val="left"/>
        <w:outlineLvl w:val="1"/>
        <w:rPr>
          <w:rFonts w:hint="eastAsia" w:ascii="仿宋" w:hAnsi="仿宋" w:eastAsia="仿宋" w:cs="Times New Roman"/>
          <w:b/>
          <w:sz w:val="28"/>
          <w:szCs w:val="18"/>
        </w:rPr>
      </w:pPr>
    </w:p>
    <w:p w14:paraId="1787E619">
      <w:pPr>
        <w:jc w:val="left"/>
        <w:outlineLvl w:val="1"/>
        <w:rPr>
          <w:rFonts w:hint="eastAsia" w:ascii="仿宋" w:hAnsi="仿宋" w:eastAsia="仿宋" w:cs="Times New Roman"/>
          <w:b/>
          <w:sz w:val="28"/>
          <w:szCs w:val="18"/>
        </w:rPr>
      </w:pPr>
    </w:p>
    <w:p w14:paraId="6C7D6E92">
      <w:pPr>
        <w:jc w:val="left"/>
        <w:outlineLvl w:val="1"/>
        <w:rPr>
          <w:rFonts w:hint="eastAsia" w:ascii="仿宋" w:hAnsi="仿宋" w:eastAsia="仿宋" w:cs="Times New Roman"/>
          <w:b/>
          <w:sz w:val="28"/>
          <w:szCs w:val="18"/>
        </w:rPr>
      </w:pPr>
    </w:p>
    <w:p w14:paraId="3EF89EAE">
      <w:pPr>
        <w:jc w:val="left"/>
        <w:outlineLvl w:val="1"/>
        <w:rPr>
          <w:rFonts w:hint="eastAsia" w:ascii="仿宋" w:hAnsi="仿宋" w:eastAsia="仿宋" w:cs="Times New Roman"/>
          <w:b/>
          <w:sz w:val="28"/>
          <w:szCs w:val="18"/>
        </w:rPr>
      </w:pPr>
    </w:p>
    <w:p w14:paraId="6D417CB1">
      <w:pPr>
        <w:jc w:val="left"/>
        <w:outlineLvl w:val="1"/>
        <w:rPr>
          <w:rFonts w:hint="eastAsia" w:ascii="仿宋" w:hAnsi="仿宋" w:eastAsia="仿宋" w:cs="仿宋"/>
          <w:b/>
          <w:sz w:val="36"/>
          <w:szCs w:val="36"/>
        </w:rPr>
      </w:pPr>
      <w:r>
        <w:rPr>
          <w:rFonts w:hint="eastAsia" w:ascii="仿宋" w:hAnsi="仿宋" w:eastAsia="仿宋" w:cs="仿宋"/>
          <w:b/>
          <w:sz w:val="36"/>
          <w:szCs w:val="36"/>
          <w:lang w:val="en-US" w:eastAsia="zh-CN"/>
        </w:rPr>
        <w:t>七、</w:t>
      </w:r>
      <w:r>
        <w:rPr>
          <w:rFonts w:hint="eastAsia" w:ascii="仿宋" w:hAnsi="仿宋" w:eastAsia="仿宋" w:cs="仿宋"/>
          <w:b/>
          <w:sz w:val="36"/>
          <w:szCs w:val="36"/>
        </w:rPr>
        <w:t>报价人参加本项目无围标串标行为的承诺格式</w:t>
      </w:r>
    </w:p>
    <w:p w14:paraId="098E4832">
      <w:pPr>
        <w:snapToGrid w:val="0"/>
        <w:spacing w:before="312" w:beforeLines="100" w:after="312" w:afterLines="100" w:line="360" w:lineRule="auto"/>
        <w:jc w:val="center"/>
        <w:rPr>
          <w:rFonts w:hint="eastAsia" w:ascii="仿宋" w:hAnsi="仿宋" w:eastAsia="仿宋" w:cs="仿宋"/>
          <w:b/>
          <w:sz w:val="32"/>
          <w:szCs w:val="32"/>
        </w:rPr>
      </w:pPr>
      <w:r>
        <w:rPr>
          <w:rFonts w:hint="eastAsia" w:ascii="仿宋" w:hAnsi="仿宋" w:eastAsia="仿宋" w:cs="仿宋"/>
          <w:b/>
          <w:sz w:val="32"/>
          <w:szCs w:val="32"/>
        </w:rPr>
        <w:t>报价人参加本项目无围标串标行为的承诺函</w:t>
      </w:r>
    </w:p>
    <w:p w14:paraId="3422F2DD">
      <w:pPr>
        <w:spacing w:line="360" w:lineRule="auto"/>
        <w:contextualSpacing/>
        <w:rPr>
          <w:rFonts w:hint="eastAsia" w:ascii="仿宋" w:hAnsi="仿宋" w:eastAsia="仿宋" w:cs="仿宋"/>
          <w:b/>
          <w:sz w:val="30"/>
          <w:szCs w:val="30"/>
        </w:rPr>
      </w:pPr>
      <w:r>
        <w:rPr>
          <w:rFonts w:hint="eastAsia" w:ascii="仿宋" w:hAnsi="仿宋" w:eastAsia="仿宋" w:cs="仿宋"/>
          <w:b/>
          <w:sz w:val="30"/>
          <w:szCs w:val="30"/>
        </w:rPr>
        <w:t>一、我方承诺无下列相互串通投标的情形：</w:t>
      </w:r>
    </w:p>
    <w:p w14:paraId="51B0E10E">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 xml:space="preserve">1.不同报价人的投标文件由同一单位或者个人编制； </w:t>
      </w:r>
    </w:p>
    <w:p w14:paraId="6878EA81">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2.不同报价人委托同一单位或者个人办理投标事宜；</w:t>
      </w:r>
    </w:p>
    <w:p w14:paraId="05D83856">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3.不同报价人的报价文件载明的项目管理员为同一个人；</w:t>
      </w:r>
    </w:p>
    <w:p w14:paraId="605CC3F1">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4.不同报价人的报价文件异常一致或者投标报价呈规律性差异；</w:t>
      </w:r>
    </w:p>
    <w:p w14:paraId="429A28CF">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5.不同报价人的报价文件相互混装；</w:t>
      </w:r>
    </w:p>
    <w:p w14:paraId="529C15DE">
      <w:pPr>
        <w:spacing w:line="360" w:lineRule="auto"/>
        <w:contextualSpacing/>
        <w:rPr>
          <w:rFonts w:hint="eastAsia" w:ascii="仿宋" w:hAnsi="仿宋" w:eastAsia="仿宋" w:cs="仿宋"/>
          <w:sz w:val="30"/>
          <w:szCs w:val="30"/>
        </w:rPr>
      </w:pPr>
      <w:r>
        <w:rPr>
          <w:rFonts w:hint="eastAsia" w:ascii="仿宋" w:hAnsi="仿宋" w:eastAsia="仿宋" w:cs="仿宋"/>
          <w:b/>
          <w:sz w:val="30"/>
          <w:szCs w:val="30"/>
        </w:rPr>
        <w:t>二、我方承诺无下列恶意串通的情形：</w:t>
      </w:r>
    </w:p>
    <w:p w14:paraId="43A54CFA">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1.报价人直接或者间接从采购人处获得其他报价人的相关信息并修改其报价文件或者响应文件；</w:t>
      </w:r>
    </w:p>
    <w:p w14:paraId="1816A885">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2.报价人按照采购人的授意撤换、修改报价文件或者响应文件；</w:t>
      </w:r>
    </w:p>
    <w:p w14:paraId="13B6B79D">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3.报价人之间协商报价、技术方案等报价文件或者响应文件的实质性内容；</w:t>
      </w:r>
    </w:p>
    <w:p w14:paraId="405CB7FF">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4.属于同一集团、协会、商会等组织成员的报价人按照该组织要求协同参加采购活动；</w:t>
      </w:r>
    </w:p>
    <w:p w14:paraId="1B48CD84">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5.报价人之间事先约定一致抬高或者</w:t>
      </w:r>
      <w:r>
        <w:rPr>
          <w:rFonts w:hint="eastAsia" w:ascii="仿宋" w:hAnsi="仿宋" w:eastAsia="仿宋" w:cs="仿宋"/>
          <w:sz w:val="30"/>
          <w:szCs w:val="30"/>
          <w:lang w:eastAsia="zh-CN"/>
        </w:rPr>
        <w:t>压低</w:t>
      </w:r>
      <w:r>
        <w:rPr>
          <w:rFonts w:hint="eastAsia" w:ascii="仿宋" w:hAnsi="仿宋" w:eastAsia="仿宋" w:cs="仿宋"/>
          <w:sz w:val="30"/>
          <w:szCs w:val="30"/>
        </w:rPr>
        <w:t>报价，或者在报价项目中事先约定轮流以高价位或者低价位中标，或者事先约定由某一特定报价人中标，然后再参加报价；</w:t>
      </w:r>
    </w:p>
    <w:p w14:paraId="3225359F">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6.报价人之间商定部分报价人放弃参加采购活动或者放弃中标；</w:t>
      </w:r>
    </w:p>
    <w:p w14:paraId="1A92029F">
      <w:pPr>
        <w:spacing w:line="360" w:lineRule="auto"/>
        <w:ind w:left="0" w:leftChars="0" w:firstLine="0" w:firstLineChars="0"/>
        <w:contextualSpacing/>
        <w:rPr>
          <w:rFonts w:hint="eastAsia" w:ascii="仿宋" w:hAnsi="仿宋" w:eastAsia="仿宋" w:cs="仿宋"/>
          <w:sz w:val="30"/>
          <w:szCs w:val="30"/>
        </w:rPr>
      </w:pPr>
      <w:r>
        <w:rPr>
          <w:rFonts w:hint="eastAsia" w:ascii="仿宋" w:hAnsi="仿宋" w:eastAsia="仿宋" w:cs="仿宋"/>
          <w:sz w:val="30"/>
          <w:szCs w:val="30"/>
        </w:rPr>
        <w:t>7.报价人与采购人之间、报价人相互之间，为谋求特定报价人中标或者排斥其他报价人的其他串通行为。</w:t>
      </w:r>
    </w:p>
    <w:p w14:paraId="670778B4">
      <w:pPr>
        <w:spacing w:line="360" w:lineRule="auto"/>
        <w:ind w:firstLine="590" w:firstLineChars="196"/>
        <w:contextualSpacing/>
        <w:rPr>
          <w:rFonts w:hint="eastAsia" w:ascii="仿宋" w:hAnsi="仿宋" w:eastAsia="仿宋" w:cs="仿宋"/>
          <w:b/>
          <w:sz w:val="30"/>
          <w:szCs w:val="30"/>
        </w:rPr>
      </w:pPr>
      <w:r>
        <w:rPr>
          <w:rFonts w:hint="eastAsia" w:ascii="仿宋" w:hAnsi="仿宋" w:eastAsia="仿宋" w:cs="仿宋"/>
          <w:b/>
          <w:sz w:val="30"/>
          <w:szCs w:val="30"/>
        </w:rPr>
        <w:t>以上情形一经核查属实，我方愿意承担一切后果，并不再寻求任何旨在减轻或者免除法律责任的辩解。</w:t>
      </w:r>
    </w:p>
    <w:p w14:paraId="21C69C66">
      <w:pPr>
        <w:pStyle w:val="8"/>
        <w:tabs>
          <w:tab w:val="left" w:pos="5529"/>
        </w:tabs>
        <w:wordWrap w:val="0"/>
        <w:spacing w:line="480" w:lineRule="auto"/>
        <w:jc w:val="right"/>
        <w:rPr>
          <w:rFonts w:hint="eastAsia" w:ascii="仿宋" w:hAnsi="仿宋" w:eastAsia="仿宋" w:cs="仿宋"/>
          <w:sz w:val="30"/>
          <w:szCs w:val="30"/>
          <w:u w:val="single"/>
        </w:rPr>
      </w:pPr>
      <w:r>
        <w:rPr>
          <w:rFonts w:hint="eastAsia" w:ascii="仿宋" w:hAnsi="仿宋" w:eastAsia="仿宋" w:cs="仿宋"/>
          <w:sz w:val="30"/>
          <w:szCs w:val="30"/>
        </w:rPr>
        <w:t>报价人（</w:t>
      </w:r>
      <w:r>
        <w:rPr>
          <w:rFonts w:hint="eastAsia" w:ascii="仿宋" w:hAnsi="仿宋" w:eastAsia="仿宋" w:cs="仿宋"/>
          <w:b/>
          <w:bCs/>
          <w:sz w:val="30"/>
          <w:szCs w:val="30"/>
        </w:rPr>
        <w:t>公章</w:t>
      </w:r>
      <w:r>
        <w:rPr>
          <w:rFonts w:hint="eastAsia" w:ascii="仿宋" w:hAnsi="仿宋" w:eastAsia="仿宋" w:cs="仿宋"/>
          <w:sz w:val="30"/>
          <w:szCs w:val="30"/>
        </w:rPr>
        <w:t xml:space="preserve">）： </w:t>
      </w:r>
      <w:r>
        <w:rPr>
          <w:rFonts w:hint="eastAsia" w:ascii="仿宋" w:hAnsi="仿宋" w:eastAsia="仿宋" w:cs="仿宋"/>
          <w:sz w:val="30"/>
          <w:szCs w:val="30"/>
          <w:u w:val="single"/>
        </w:rPr>
        <w:t xml:space="preserve">                        </w:t>
      </w:r>
    </w:p>
    <w:p w14:paraId="7688AF81">
      <w:pPr>
        <w:pStyle w:val="8"/>
        <w:tabs>
          <w:tab w:val="left" w:pos="5529"/>
        </w:tabs>
        <w:wordWrap w:val="0"/>
        <w:spacing w:line="480" w:lineRule="auto"/>
        <w:jc w:val="right"/>
        <w:rPr>
          <w:rFonts w:hint="eastAsia" w:ascii="仿宋" w:hAnsi="仿宋" w:eastAsia="仿宋" w:cs="仿宋"/>
          <w:sz w:val="30"/>
          <w:szCs w:val="30"/>
        </w:rPr>
      </w:pPr>
      <w:r>
        <w:rPr>
          <w:rFonts w:hint="eastAsia" w:ascii="仿宋" w:hAnsi="仿宋" w:eastAsia="仿宋" w:cs="仿宋"/>
          <w:sz w:val="30"/>
          <w:szCs w:val="30"/>
        </w:rPr>
        <w:t>法定代表人或委托代理人</w:t>
      </w:r>
      <w:r>
        <w:rPr>
          <w:rFonts w:hint="eastAsia" w:ascii="仿宋" w:hAnsi="仿宋" w:eastAsia="仿宋" w:cs="仿宋"/>
          <w:b/>
          <w:sz w:val="30"/>
          <w:szCs w:val="30"/>
        </w:rPr>
        <w:t>(签字)</w:t>
      </w:r>
      <w:r>
        <w:rPr>
          <w:rFonts w:hint="eastAsia" w:ascii="仿宋" w:hAnsi="仿宋" w:eastAsia="仿宋" w:cs="仿宋"/>
          <w:sz w:val="30"/>
          <w:szCs w:val="30"/>
        </w:rPr>
        <w:t>：</w:t>
      </w:r>
      <w:r>
        <w:rPr>
          <w:rFonts w:hint="eastAsia" w:ascii="仿宋" w:hAnsi="仿宋" w:eastAsia="仿宋" w:cs="仿宋"/>
          <w:sz w:val="30"/>
          <w:szCs w:val="30"/>
          <w:u w:val="single"/>
        </w:rPr>
        <w:t xml:space="preserve">              </w:t>
      </w:r>
    </w:p>
    <w:p w14:paraId="242CBF95">
      <w:pPr>
        <w:pStyle w:val="8"/>
        <w:spacing w:line="480" w:lineRule="auto"/>
        <w:ind w:firstLine="600"/>
        <w:jc w:val="right"/>
        <w:rPr>
          <w:rFonts w:hint="eastAsia" w:ascii="仿宋" w:hAnsi="仿宋" w:eastAsia="仿宋" w:cs="仿宋"/>
          <w:b/>
          <w:sz w:val="30"/>
          <w:szCs w:val="30"/>
        </w:rPr>
      </w:pPr>
      <w:r>
        <w:rPr>
          <w:rFonts w:hint="eastAsia" w:ascii="仿宋" w:hAnsi="仿宋" w:eastAsia="仿宋" w:cs="仿宋"/>
          <w:sz w:val="30"/>
          <w:szCs w:val="30"/>
          <w:u w:val="single"/>
        </w:rPr>
        <w:t xml:space="preserve">     </w:t>
      </w:r>
      <w:r>
        <w:rPr>
          <w:rFonts w:hint="eastAsia" w:ascii="仿宋" w:hAnsi="仿宋" w:eastAsia="仿宋" w:cs="仿宋"/>
          <w:sz w:val="30"/>
          <w:szCs w:val="30"/>
        </w:rPr>
        <w:t>年</w:t>
      </w:r>
      <w:r>
        <w:rPr>
          <w:rFonts w:hint="eastAsia" w:ascii="仿宋" w:hAnsi="仿宋" w:eastAsia="仿宋" w:cs="仿宋"/>
          <w:sz w:val="30"/>
          <w:szCs w:val="30"/>
          <w:u w:val="single"/>
        </w:rPr>
        <w:t xml:space="preserve">     </w:t>
      </w:r>
      <w:r>
        <w:rPr>
          <w:rFonts w:hint="eastAsia" w:ascii="仿宋" w:hAnsi="仿宋" w:eastAsia="仿宋" w:cs="仿宋"/>
          <w:sz w:val="30"/>
          <w:szCs w:val="30"/>
        </w:rPr>
        <w:t>月</w:t>
      </w:r>
      <w:r>
        <w:rPr>
          <w:rFonts w:hint="eastAsia" w:ascii="仿宋" w:hAnsi="仿宋" w:eastAsia="仿宋" w:cs="仿宋"/>
          <w:sz w:val="30"/>
          <w:szCs w:val="30"/>
          <w:u w:val="single"/>
        </w:rPr>
        <w:t xml:space="preserve">     </w:t>
      </w:r>
      <w:r>
        <w:rPr>
          <w:rFonts w:hint="eastAsia" w:ascii="仿宋" w:hAnsi="仿宋" w:eastAsia="仿宋" w:cs="仿宋"/>
          <w:sz w:val="30"/>
          <w:szCs w:val="30"/>
        </w:rPr>
        <w:t>日</w:t>
      </w:r>
    </w:p>
    <w:p w14:paraId="055910F7">
      <w:pPr>
        <w:pStyle w:val="7"/>
        <w:numPr>
          <w:ilvl w:val="0"/>
          <w:numId w:val="0"/>
        </w:numPr>
        <w:jc w:val="left"/>
        <w:rPr>
          <w:rFonts w:hint="eastAsia"/>
          <w:b/>
          <w:sz w:val="36"/>
          <w:szCs w:val="36"/>
        </w:rPr>
      </w:pPr>
      <w:r>
        <w:rPr>
          <w:rFonts w:hint="eastAsia"/>
          <w:b/>
          <w:sz w:val="36"/>
          <w:szCs w:val="36"/>
          <w:lang w:val="en-US" w:eastAsia="zh-CN"/>
        </w:rPr>
        <w:t>八、报价表格式</w:t>
      </w:r>
    </w:p>
    <w:p w14:paraId="0122CAFD">
      <w:pPr>
        <w:jc w:val="center"/>
        <w:rPr>
          <w:rFonts w:ascii="仿宋" w:hAnsi="仿宋" w:eastAsia="仿宋"/>
          <w:b/>
          <w:sz w:val="48"/>
          <w:szCs w:val="48"/>
        </w:rPr>
      </w:pPr>
      <w:r>
        <w:rPr>
          <w:rFonts w:ascii="仿宋" w:hAnsi="仿宋" w:eastAsia="仿宋"/>
          <w:b/>
          <w:sz w:val="40"/>
          <w:szCs w:val="40"/>
        </w:rPr>
        <w:t>报价表</w:t>
      </w:r>
    </w:p>
    <w:p w14:paraId="46067EE4">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项目编号：</w:t>
      </w:r>
      <w:r>
        <w:rPr>
          <w:rFonts w:hint="eastAsia" w:ascii="仿宋" w:hAnsi="仿宋" w:eastAsia="仿宋"/>
          <w:sz w:val="30"/>
          <w:szCs w:val="30"/>
          <w:u w:val="single"/>
        </w:rPr>
        <w:t xml:space="preserve">                 </w:t>
      </w:r>
    </w:p>
    <w:p w14:paraId="43C22739">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7"/>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3544"/>
        <w:gridCol w:w="2410"/>
        <w:gridCol w:w="708"/>
        <w:gridCol w:w="709"/>
        <w:gridCol w:w="1418"/>
        <w:gridCol w:w="1276"/>
      </w:tblGrid>
      <w:tr w14:paraId="346F6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rPr>
        <w:tc>
          <w:tcPr>
            <w:tcW w:w="817" w:type="dxa"/>
            <w:tcBorders>
              <w:top w:val="single" w:color="auto" w:sz="4" w:space="0"/>
              <w:left w:val="single" w:color="auto" w:sz="4" w:space="0"/>
              <w:bottom w:val="single" w:color="auto" w:sz="4" w:space="0"/>
              <w:right w:val="single" w:color="auto" w:sz="4" w:space="0"/>
            </w:tcBorders>
            <w:vAlign w:val="center"/>
          </w:tcPr>
          <w:p w14:paraId="10B00DB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3544" w:type="dxa"/>
            <w:tcBorders>
              <w:top w:val="single" w:color="auto" w:sz="4" w:space="0"/>
              <w:left w:val="single" w:color="auto" w:sz="4" w:space="0"/>
              <w:bottom w:val="single" w:color="auto" w:sz="4" w:space="0"/>
              <w:right w:val="single" w:color="auto" w:sz="4" w:space="0"/>
            </w:tcBorders>
            <w:vAlign w:val="center"/>
          </w:tcPr>
          <w:p w14:paraId="59627D29">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货物</w:t>
            </w:r>
            <w:r>
              <w:rPr>
                <w:rFonts w:ascii="仿宋" w:hAnsi="仿宋" w:eastAsia="仿宋" w:cs="Arial"/>
                <w:bCs/>
                <w:sz w:val="30"/>
                <w:szCs w:val="30"/>
              </w:rPr>
              <w:t>名称</w:t>
            </w:r>
          </w:p>
        </w:tc>
        <w:tc>
          <w:tcPr>
            <w:tcW w:w="2410" w:type="dxa"/>
            <w:tcBorders>
              <w:top w:val="single" w:color="auto" w:sz="4" w:space="0"/>
              <w:left w:val="single" w:color="auto" w:sz="4" w:space="0"/>
              <w:bottom w:val="single" w:color="auto" w:sz="4" w:space="0"/>
              <w:right w:val="single" w:color="auto" w:sz="4" w:space="0"/>
            </w:tcBorders>
            <w:vAlign w:val="center"/>
          </w:tcPr>
          <w:p w14:paraId="5450D280">
            <w:pPr>
              <w:spacing w:line="360" w:lineRule="exact"/>
              <w:jc w:val="center"/>
              <w:rPr>
                <w:rFonts w:ascii="仿宋" w:hAnsi="仿宋" w:eastAsia="仿宋" w:cs="Arial"/>
                <w:bCs/>
                <w:color w:val="000000" w:themeColor="text1"/>
                <w:sz w:val="30"/>
                <w:szCs w:val="30"/>
                <w14:textFill>
                  <w14:solidFill>
                    <w14:schemeClr w14:val="tx1"/>
                  </w14:solidFill>
                </w14:textFill>
              </w:rPr>
            </w:pPr>
            <w:r>
              <w:rPr>
                <w:rFonts w:hint="eastAsia" w:ascii="仿宋" w:hAnsi="仿宋" w:eastAsia="仿宋" w:cs="Arial"/>
                <w:bCs/>
                <w:color w:val="000000" w:themeColor="text1"/>
                <w:sz w:val="30"/>
                <w:szCs w:val="30"/>
                <w14:textFill>
                  <w14:solidFill>
                    <w14:schemeClr w14:val="tx1"/>
                  </w14:solidFill>
                </w14:textFill>
              </w:rPr>
              <w:t>报价</w:t>
            </w:r>
          </w:p>
          <w:p w14:paraId="1B04C2C4">
            <w:pPr>
              <w:spacing w:line="360" w:lineRule="exact"/>
              <w:jc w:val="center"/>
              <w:rPr>
                <w:rFonts w:ascii="仿宋" w:hAnsi="仿宋" w:eastAsia="仿宋" w:cs="Arial"/>
                <w:bCs/>
                <w:sz w:val="30"/>
                <w:szCs w:val="30"/>
              </w:rPr>
            </w:pPr>
            <w:r>
              <w:rPr>
                <w:rFonts w:hint="eastAsia" w:ascii="仿宋" w:hAnsi="仿宋" w:eastAsia="仿宋" w:cs="Arial"/>
                <w:bCs/>
                <w:color w:val="000000" w:themeColor="text1"/>
                <w:sz w:val="30"/>
                <w:szCs w:val="30"/>
                <w14:textFill>
                  <w14:solidFill>
                    <w14:schemeClr w14:val="tx1"/>
                  </w14:solidFill>
                </w14:textFill>
              </w:rPr>
              <w:t>品牌/生产商、规格、型号</w:t>
            </w:r>
          </w:p>
        </w:tc>
        <w:tc>
          <w:tcPr>
            <w:tcW w:w="708" w:type="dxa"/>
            <w:tcBorders>
              <w:top w:val="single" w:color="auto" w:sz="4" w:space="0"/>
              <w:left w:val="single" w:color="auto" w:sz="4" w:space="0"/>
              <w:bottom w:val="single" w:color="auto" w:sz="4" w:space="0"/>
              <w:right w:val="single" w:color="auto" w:sz="4" w:space="0"/>
            </w:tcBorders>
            <w:vAlign w:val="center"/>
          </w:tcPr>
          <w:p w14:paraId="0BA458BD">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17E33DAA">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18" w:type="dxa"/>
            <w:tcBorders>
              <w:top w:val="single" w:color="auto" w:sz="4" w:space="0"/>
              <w:left w:val="single" w:color="auto" w:sz="4" w:space="0"/>
              <w:bottom w:val="single" w:color="auto" w:sz="4" w:space="0"/>
              <w:right w:val="single" w:color="auto" w:sz="4" w:space="0"/>
            </w:tcBorders>
            <w:vAlign w:val="center"/>
          </w:tcPr>
          <w:p w14:paraId="4EDB054D">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0E7DC488">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276" w:type="dxa"/>
            <w:tcBorders>
              <w:top w:val="single" w:color="auto" w:sz="4" w:space="0"/>
              <w:left w:val="single" w:color="auto" w:sz="4" w:space="0"/>
              <w:bottom w:val="single" w:color="auto" w:sz="4" w:space="0"/>
              <w:right w:val="single" w:color="auto" w:sz="4" w:space="0"/>
            </w:tcBorders>
            <w:vAlign w:val="center"/>
          </w:tcPr>
          <w:p w14:paraId="6A5C6FD8">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11865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16A1AD22">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3544" w:type="dxa"/>
            <w:tcBorders>
              <w:top w:val="single" w:color="auto" w:sz="4" w:space="0"/>
              <w:left w:val="single" w:color="auto" w:sz="4" w:space="0"/>
              <w:bottom w:val="single" w:color="auto" w:sz="4" w:space="0"/>
              <w:right w:val="single" w:color="auto" w:sz="4" w:space="0"/>
            </w:tcBorders>
            <w:vAlign w:val="center"/>
          </w:tcPr>
          <w:p w14:paraId="7D58F9B2">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2B026524">
            <w:pPr>
              <w:spacing w:line="360" w:lineRule="exact"/>
              <w:rPr>
                <w:rFonts w:ascii="仿宋" w:hAnsi="仿宋" w:eastAsia="仿宋" w:cs="Arial"/>
                <w:bCs/>
                <w:sz w:val="30"/>
                <w:szCs w:val="30"/>
              </w:rPr>
            </w:pPr>
          </w:p>
          <w:p w14:paraId="3CBB4F9A">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EFE3BB2">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301A67E0">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116E8299">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04D3F502">
            <w:pPr>
              <w:widowControl/>
              <w:jc w:val="center"/>
              <w:textAlignment w:val="center"/>
              <w:rPr>
                <w:rFonts w:ascii="仿宋" w:hAnsi="仿宋" w:eastAsia="仿宋" w:cs="Arial"/>
                <w:bCs/>
                <w:sz w:val="30"/>
                <w:szCs w:val="30"/>
              </w:rPr>
            </w:pPr>
          </w:p>
        </w:tc>
      </w:tr>
      <w:tr w14:paraId="0DE3E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062FEB71">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3544" w:type="dxa"/>
            <w:tcBorders>
              <w:top w:val="single" w:color="auto" w:sz="4" w:space="0"/>
              <w:left w:val="single" w:color="auto" w:sz="4" w:space="0"/>
              <w:bottom w:val="single" w:color="auto" w:sz="4" w:space="0"/>
              <w:right w:val="single" w:color="auto" w:sz="4" w:space="0"/>
            </w:tcBorders>
            <w:vAlign w:val="center"/>
          </w:tcPr>
          <w:p w14:paraId="1A4843BF">
            <w:pPr>
              <w:widowControl/>
              <w:jc w:val="center"/>
              <w:textAlignment w:val="center"/>
              <w:rPr>
                <w:rFonts w:ascii="仿宋" w:hAnsi="仿宋" w:eastAsia="仿宋" w:cs="Arial"/>
                <w:bCs/>
                <w:sz w:val="30"/>
                <w:szCs w:val="30"/>
              </w:rPr>
            </w:pPr>
          </w:p>
        </w:tc>
        <w:tc>
          <w:tcPr>
            <w:tcW w:w="2410" w:type="dxa"/>
            <w:tcBorders>
              <w:top w:val="single" w:color="auto" w:sz="4" w:space="0"/>
              <w:left w:val="single" w:color="auto" w:sz="4" w:space="0"/>
              <w:bottom w:val="single" w:color="auto" w:sz="4" w:space="0"/>
              <w:right w:val="single" w:color="auto" w:sz="4" w:space="0"/>
            </w:tcBorders>
            <w:vAlign w:val="center"/>
          </w:tcPr>
          <w:p w14:paraId="01E78548">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0C61FE81">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2EAA9AC">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23C97A07">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46C98FE9">
            <w:pPr>
              <w:widowControl/>
              <w:jc w:val="center"/>
              <w:textAlignment w:val="center"/>
              <w:rPr>
                <w:rFonts w:ascii="仿宋" w:hAnsi="仿宋" w:eastAsia="仿宋" w:cs="Arial"/>
                <w:bCs/>
                <w:sz w:val="30"/>
                <w:szCs w:val="30"/>
              </w:rPr>
            </w:pPr>
          </w:p>
        </w:tc>
      </w:tr>
      <w:tr w14:paraId="167C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9" w:hRule="atLeast"/>
        </w:trPr>
        <w:tc>
          <w:tcPr>
            <w:tcW w:w="817" w:type="dxa"/>
            <w:tcBorders>
              <w:top w:val="single" w:color="auto" w:sz="4" w:space="0"/>
              <w:left w:val="single" w:color="auto" w:sz="4" w:space="0"/>
              <w:bottom w:val="single" w:color="auto" w:sz="4" w:space="0"/>
              <w:right w:val="single" w:color="auto" w:sz="4" w:space="0"/>
            </w:tcBorders>
            <w:vAlign w:val="center"/>
          </w:tcPr>
          <w:p w14:paraId="77FAC8FF">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3544" w:type="dxa"/>
            <w:tcBorders>
              <w:top w:val="single" w:color="auto" w:sz="4" w:space="0"/>
              <w:left w:val="single" w:color="auto" w:sz="4" w:space="0"/>
              <w:bottom w:val="single" w:color="auto" w:sz="4" w:space="0"/>
              <w:right w:val="single" w:color="auto" w:sz="4" w:space="0"/>
            </w:tcBorders>
            <w:vAlign w:val="center"/>
          </w:tcPr>
          <w:p w14:paraId="6D18D0C0">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2410" w:type="dxa"/>
            <w:tcBorders>
              <w:top w:val="single" w:color="auto" w:sz="4" w:space="0"/>
              <w:left w:val="single" w:color="auto" w:sz="4" w:space="0"/>
              <w:bottom w:val="single" w:color="auto" w:sz="4" w:space="0"/>
              <w:right w:val="single" w:color="auto" w:sz="4" w:space="0"/>
            </w:tcBorders>
            <w:vAlign w:val="center"/>
          </w:tcPr>
          <w:p w14:paraId="2A176A82">
            <w:pPr>
              <w:spacing w:line="360" w:lineRule="exact"/>
              <w:rPr>
                <w:rFonts w:ascii="仿宋" w:hAnsi="仿宋" w:eastAsia="仿宋" w:cs="Arial"/>
                <w:bCs/>
                <w:sz w:val="30"/>
                <w:szCs w:val="30"/>
              </w:rPr>
            </w:pPr>
          </w:p>
        </w:tc>
        <w:tc>
          <w:tcPr>
            <w:tcW w:w="708" w:type="dxa"/>
            <w:tcBorders>
              <w:top w:val="single" w:color="auto" w:sz="4" w:space="0"/>
              <w:left w:val="single" w:color="auto" w:sz="4" w:space="0"/>
              <w:bottom w:val="single" w:color="auto" w:sz="4" w:space="0"/>
              <w:right w:val="single" w:color="auto" w:sz="4" w:space="0"/>
            </w:tcBorders>
            <w:vAlign w:val="center"/>
          </w:tcPr>
          <w:p w14:paraId="5241CD1B">
            <w:pPr>
              <w:spacing w:line="360" w:lineRule="exact"/>
              <w:rPr>
                <w:rFonts w:ascii="仿宋" w:hAnsi="仿宋" w:eastAsia="仿宋" w:cs="Arial"/>
                <w:bCs/>
                <w:sz w:val="30"/>
                <w:szCs w:val="30"/>
              </w:rPr>
            </w:pPr>
          </w:p>
        </w:tc>
        <w:tc>
          <w:tcPr>
            <w:tcW w:w="709" w:type="dxa"/>
            <w:tcBorders>
              <w:top w:val="single" w:color="auto" w:sz="4" w:space="0"/>
              <w:left w:val="single" w:color="auto" w:sz="4" w:space="0"/>
              <w:bottom w:val="single" w:color="auto" w:sz="4" w:space="0"/>
              <w:right w:val="single" w:color="auto" w:sz="4" w:space="0"/>
            </w:tcBorders>
            <w:vAlign w:val="center"/>
          </w:tcPr>
          <w:p w14:paraId="0893F832">
            <w:pPr>
              <w:widowControl/>
              <w:jc w:val="center"/>
              <w:textAlignment w:val="center"/>
              <w:rPr>
                <w:rFonts w:ascii="仿宋" w:hAnsi="仿宋" w:eastAsia="仿宋" w:cs="Arial"/>
                <w:bCs/>
                <w:sz w:val="30"/>
                <w:szCs w:val="30"/>
              </w:rPr>
            </w:pPr>
          </w:p>
        </w:tc>
        <w:tc>
          <w:tcPr>
            <w:tcW w:w="1418" w:type="dxa"/>
            <w:tcBorders>
              <w:top w:val="single" w:color="auto" w:sz="4" w:space="0"/>
              <w:left w:val="single" w:color="auto" w:sz="4" w:space="0"/>
              <w:bottom w:val="single" w:color="auto" w:sz="4" w:space="0"/>
              <w:right w:val="single" w:color="auto" w:sz="4" w:space="0"/>
            </w:tcBorders>
            <w:vAlign w:val="center"/>
          </w:tcPr>
          <w:p w14:paraId="7BB29DBE">
            <w:pPr>
              <w:widowControl/>
              <w:jc w:val="center"/>
              <w:textAlignment w:val="center"/>
              <w:rPr>
                <w:rFonts w:ascii="仿宋" w:hAnsi="仿宋" w:eastAsia="仿宋" w:cs="Arial"/>
                <w:bCs/>
                <w:sz w:val="30"/>
                <w:szCs w:val="30"/>
              </w:rPr>
            </w:pPr>
          </w:p>
        </w:tc>
        <w:tc>
          <w:tcPr>
            <w:tcW w:w="1276" w:type="dxa"/>
            <w:tcBorders>
              <w:top w:val="single" w:color="auto" w:sz="4" w:space="0"/>
              <w:left w:val="single" w:color="auto" w:sz="4" w:space="0"/>
              <w:bottom w:val="single" w:color="auto" w:sz="4" w:space="0"/>
              <w:right w:val="single" w:color="auto" w:sz="4" w:space="0"/>
            </w:tcBorders>
            <w:vAlign w:val="center"/>
          </w:tcPr>
          <w:p w14:paraId="768A22A7">
            <w:pPr>
              <w:widowControl/>
              <w:jc w:val="center"/>
              <w:textAlignment w:val="center"/>
              <w:rPr>
                <w:rFonts w:ascii="仿宋" w:hAnsi="仿宋" w:eastAsia="仿宋" w:cs="Arial"/>
                <w:bCs/>
                <w:sz w:val="30"/>
                <w:szCs w:val="30"/>
              </w:rPr>
            </w:pPr>
          </w:p>
        </w:tc>
      </w:tr>
      <w:tr w14:paraId="04B9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7E3D505A">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7D32F6A4">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0EE29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7"/>
            <w:tcBorders>
              <w:top w:val="single" w:color="auto" w:sz="4" w:space="0"/>
              <w:left w:val="single" w:color="auto" w:sz="4" w:space="0"/>
              <w:bottom w:val="single" w:color="auto" w:sz="4" w:space="0"/>
              <w:right w:val="single" w:color="auto" w:sz="4" w:space="0"/>
            </w:tcBorders>
            <w:vAlign w:val="center"/>
          </w:tcPr>
          <w:p w14:paraId="134F8A85">
            <w:pPr>
              <w:spacing w:line="360" w:lineRule="exact"/>
              <w:jc w:val="left"/>
              <w:rPr>
                <w:rFonts w:hint="eastAsia" w:ascii="仿宋" w:hAnsi="仿宋" w:eastAsia="仿宋" w:cs="Arial"/>
                <w:bCs/>
                <w:sz w:val="30"/>
                <w:szCs w:val="30"/>
              </w:rPr>
            </w:pPr>
            <w:r>
              <w:rPr>
                <w:rFonts w:hint="eastAsia" w:ascii="仿宋" w:hAnsi="仿宋" w:eastAsia="仿宋" w:cs="Arial"/>
                <w:bCs/>
                <w:sz w:val="30"/>
                <w:szCs w:val="30"/>
              </w:rPr>
              <w:t>服务交付时间：签订合同之日起</w:t>
            </w:r>
            <w:r>
              <w:rPr>
                <w:rFonts w:hint="eastAsia" w:ascii="仿宋" w:hAnsi="仿宋" w:eastAsia="仿宋" w:cs="Arial"/>
                <w:bCs/>
                <w:sz w:val="30"/>
                <w:szCs w:val="30"/>
                <w:u w:val="single"/>
                <w:lang w:val="en-US" w:eastAsia="zh-CN"/>
              </w:rPr>
              <w:t xml:space="preserve">    </w:t>
            </w:r>
            <w:r>
              <w:rPr>
                <w:rFonts w:hint="eastAsia" w:ascii="仿宋" w:hAnsi="仿宋" w:eastAsia="仿宋" w:cs="Arial"/>
                <w:bCs/>
                <w:sz w:val="30"/>
                <w:szCs w:val="30"/>
              </w:rPr>
              <w:t>日内</w:t>
            </w:r>
            <w:r>
              <w:rPr>
                <w:rFonts w:hint="eastAsia" w:ascii="仿宋" w:hAnsi="仿宋" w:eastAsia="仿宋" w:cs="Arial"/>
                <w:bCs/>
                <w:sz w:val="30"/>
                <w:szCs w:val="30"/>
                <w:lang w:val="en-US" w:eastAsia="zh-CN"/>
              </w:rPr>
              <w:t>开始提供</w:t>
            </w:r>
            <w:r>
              <w:rPr>
                <w:rFonts w:hint="eastAsia" w:ascii="仿宋" w:hAnsi="仿宋" w:eastAsia="仿宋" w:cs="Arial"/>
                <w:bCs/>
                <w:sz w:val="30"/>
                <w:szCs w:val="30"/>
              </w:rPr>
              <w:t>服务内容。</w:t>
            </w:r>
          </w:p>
          <w:p w14:paraId="171C52EB">
            <w:pPr>
              <w:spacing w:line="360" w:lineRule="exact"/>
              <w:jc w:val="left"/>
              <w:rPr>
                <w:rFonts w:hint="eastAsia" w:eastAsia="仿宋"/>
                <w:lang w:val="en-US" w:eastAsia="zh-CN"/>
              </w:rPr>
            </w:pPr>
            <w:r>
              <w:rPr>
                <w:rFonts w:hint="eastAsia" w:ascii="仿宋" w:hAnsi="仿宋" w:eastAsia="仿宋" w:cs="Arial"/>
                <w:bCs/>
                <w:sz w:val="30"/>
                <w:szCs w:val="30"/>
              </w:rPr>
              <w:t>服务期</w:t>
            </w:r>
            <w:r>
              <w:rPr>
                <w:rFonts w:hint="eastAsia" w:ascii="仿宋" w:hAnsi="仿宋" w:eastAsia="仿宋" w:cs="Arial"/>
                <w:bCs/>
                <w:sz w:val="30"/>
                <w:szCs w:val="30"/>
                <w:lang w:val="en-US" w:eastAsia="zh-CN"/>
              </w:rPr>
              <w:t>限</w:t>
            </w:r>
            <w:r>
              <w:rPr>
                <w:rFonts w:hint="eastAsia" w:ascii="仿宋" w:hAnsi="仿宋" w:eastAsia="仿宋" w:cs="Arial"/>
                <w:bCs/>
                <w:sz w:val="30"/>
                <w:szCs w:val="30"/>
              </w:rPr>
              <w:t>：</w:t>
            </w:r>
            <w:r>
              <w:rPr>
                <w:rFonts w:hint="default" w:ascii="仿宋" w:hAnsi="仿宋" w:eastAsia="仿宋" w:cs="Arial"/>
                <w:bCs/>
                <w:sz w:val="30"/>
                <w:szCs w:val="30"/>
              </w:rPr>
              <w:t>自合同签订之日起</w:t>
            </w:r>
            <w:r>
              <w:rPr>
                <w:rFonts w:hint="eastAsia" w:ascii="仿宋" w:hAnsi="仿宋" w:eastAsia="仿宋" w:cs="Arial"/>
                <w:bCs/>
                <w:sz w:val="30"/>
                <w:szCs w:val="30"/>
                <w:lang w:val="en-US" w:eastAsia="zh-CN"/>
              </w:rPr>
              <w:t xml:space="preserve">  </w:t>
            </w:r>
            <w:r>
              <w:rPr>
                <w:rFonts w:hint="default" w:ascii="仿宋" w:hAnsi="仿宋" w:eastAsia="仿宋" w:cs="Arial"/>
                <w:bCs/>
                <w:sz w:val="30"/>
                <w:szCs w:val="30"/>
              </w:rPr>
              <w:t>个月（</w:t>
            </w:r>
            <w:r>
              <w:rPr>
                <w:rFonts w:hint="eastAsia" w:ascii="仿宋" w:hAnsi="仿宋" w:eastAsia="仿宋" w:cs="Arial"/>
                <w:bCs/>
                <w:sz w:val="30"/>
                <w:szCs w:val="30"/>
                <w:lang w:val="en-US" w:eastAsia="zh-CN"/>
              </w:rPr>
              <w:t xml:space="preserve">  </w:t>
            </w:r>
            <w:r>
              <w:rPr>
                <w:rFonts w:hint="default" w:ascii="仿宋" w:hAnsi="仿宋" w:eastAsia="仿宋" w:cs="Arial"/>
                <w:bCs/>
                <w:sz w:val="30"/>
                <w:szCs w:val="30"/>
              </w:rPr>
              <w:t>年）。服务期内，成交</w:t>
            </w:r>
            <w:r>
              <w:rPr>
                <w:rFonts w:hint="eastAsia" w:ascii="仿宋" w:hAnsi="仿宋" w:eastAsia="仿宋" w:cs="Arial"/>
                <w:bCs/>
                <w:sz w:val="30"/>
                <w:szCs w:val="30"/>
                <w:lang w:val="en-US" w:eastAsia="zh-CN"/>
              </w:rPr>
              <w:t>报价人</w:t>
            </w:r>
            <w:r>
              <w:rPr>
                <w:rFonts w:hint="default" w:ascii="仿宋" w:hAnsi="仿宋" w:eastAsia="仿宋" w:cs="Arial"/>
                <w:bCs/>
                <w:sz w:val="30"/>
                <w:szCs w:val="30"/>
              </w:rPr>
              <w:t>应按采购人要求持续提供电控系统日常巡检、月度保养、季度检修、年度大修检测及故障应急处置等维保服务。</w:t>
            </w:r>
            <w:r>
              <w:rPr>
                <w:rFonts w:hint="eastAsia" w:ascii="仿宋" w:hAnsi="仿宋" w:eastAsia="仿宋" w:cs="Arial"/>
                <w:bCs/>
                <w:sz w:val="30"/>
                <w:szCs w:val="30"/>
                <w:lang w:val="en-US" w:eastAsia="zh-CN"/>
              </w:rPr>
              <w:t xml:space="preserve"> </w:t>
            </w:r>
          </w:p>
        </w:tc>
      </w:tr>
    </w:tbl>
    <w:p w14:paraId="34723468">
      <w:pPr>
        <w:pStyle w:val="8"/>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5E8C6E79">
      <w:pPr>
        <w:pStyle w:val="9"/>
        <w:ind w:left="5250"/>
      </w:pPr>
    </w:p>
    <w:p w14:paraId="0BEFCCE9">
      <w:pPr>
        <w:pStyle w:val="8"/>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7BF60F38">
      <w:pPr>
        <w:pStyle w:val="9"/>
        <w:ind w:left="5250"/>
      </w:pPr>
    </w:p>
    <w:p w14:paraId="2D78B992">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1823DE3E">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7E41F0D">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737D6D30">
      <w:pPr>
        <w:widowControl/>
        <w:adjustRightInd w:val="0"/>
        <w:snapToGrid w:val="0"/>
        <w:spacing w:line="360" w:lineRule="auto"/>
        <w:jc w:val="left"/>
        <w:rPr>
          <w:rFonts w:ascii="仿宋" w:hAnsi="仿宋" w:eastAsia="仿宋" w:cs="Arial"/>
          <w:color w:val="000000"/>
          <w:kern w:val="0"/>
          <w:sz w:val="30"/>
          <w:szCs w:val="30"/>
        </w:rPr>
      </w:pPr>
    </w:p>
    <w:p w14:paraId="04E8F882">
      <w:pPr>
        <w:pStyle w:val="7"/>
        <w:jc w:val="left"/>
      </w:pPr>
    </w:p>
    <w:p w14:paraId="340BF556">
      <w:pPr>
        <w:pStyle w:val="7"/>
        <w:jc w:val="left"/>
      </w:pPr>
    </w:p>
    <w:p w14:paraId="36FF8613">
      <w:pPr>
        <w:pStyle w:val="7"/>
        <w:jc w:val="left"/>
      </w:pPr>
    </w:p>
    <w:p w14:paraId="26E994BA">
      <w:pPr>
        <w:pStyle w:val="7"/>
        <w:jc w:val="left"/>
      </w:pPr>
    </w:p>
    <w:p w14:paraId="41291252">
      <w:pPr>
        <w:pStyle w:val="7"/>
        <w:jc w:val="left"/>
      </w:pPr>
    </w:p>
    <w:p w14:paraId="6BA368F5">
      <w:pPr>
        <w:pStyle w:val="7"/>
        <w:numPr>
          <w:ilvl w:val="0"/>
          <w:numId w:val="0"/>
        </w:numPr>
        <w:ind w:leftChars="0"/>
        <w:jc w:val="left"/>
        <w:rPr>
          <w:rFonts w:hint="eastAsia"/>
          <w:b/>
          <w:sz w:val="36"/>
          <w:szCs w:val="36"/>
          <w:lang w:val="en-US" w:eastAsia="zh-CN"/>
        </w:rPr>
      </w:pPr>
    </w:p>
    <w:p w14:paraId="4905FA6F">
      <w:pPr>
        <w:pStyle w:val="7"/>
        <w:numPr>
          <w:ilvl w:val="0"/>
          <w:numId w:val="0"/>
        </w:numPr>
        <w:ind w:leftChars="0"/>
        <w:jc w:val="left"/>
        <w:rPr>
          <w:rFonts w:hint="default"/>
          <w:b/>
          <w:sz w:val="36"/>
          <w:szCs w:val="36"/>
          <w:lang w:val="en-US" w:eastAsia="zh-CN"/>
        </w:rPr>
      </w:pPr>
      <w:r>
        <w:rPr>
          <w:rFonts w:hint="eastAsia"/>
          <w:b/>
          <w:sz w:val="36"/>
          <w:szCs w:val="36"/>
          <w:lang w:val="en-US" w:eastAsia="zh-CN"/>
        </w:rPr>
        <w:t>九、商务、技术响应、偏离情况说明表格</w:t>
      </w:r>
    </w:p>
    <w:p w14:paraId="0E09BE0A">
      <w:pPr>
        <w:jc w:val="center"/>
        <w:rPr>
          <w:rFonts w:hint="default"/>
          <w:b/>
          <w:sz w:val="36"/>
          <w:szCs w:val="36"/>
          <w:lang w:val="en-US" w:eastAsia="zh-CN"/>
        </w:rPr>
      </w:pPr>
      <w:r>
        <w:rPr>
          <w:rFonts w:hint="eastAsia" w:ascii="仿宋" w:hAnsi="仿宋" w:eastAsia="仿宋"/>
          <w:b/>
          <w:sz w:val="40"/>
          <w:szCs w:val="40"/>
          <w:lang w:val="en-US" w:eastAsia="zh-CN"/>
        </w:rPr>
        <w:t>商务、技术响应、偏离情况说明表</w:t>
      </w:r>
    </w:p>
    <w:p w14:paraId="63397DC4">
      <w:pPr>
        <w:spacing w:before="156" w:beforeLines="50" w:after="156" w:afterLines="50" w:line="360" w:lineRule="exact"/>
        <w:rPr>
          <w:rFonts w:ascii="宋体" w:hAnsi="宋体"/>
          <w:sz w:val="28"/>
        </w:rPr>
      </w:pPr>
      <w:r>
        <w:rPr>
          <w:rFonts w:hint="eastAsia" w:ascii="宋体" w:hAnsi="宋体"/>
          <w:sz w:val="28"/>
          <w:lang w:val="en-US" w:eastAsia="zh-CN"/>
        </w:rPr>
        <w:t>项目</w:t>
      </w:r>
      <w:r>
        <w:rPr>
          <w:rFonts w:hint="eastAsia" w:ascii="宋体" w:hAnsi="宋体"/>
          <w:sz w:val="28"/>
        </w:rPr>
        <w:t>编号：</w:t>
      </w:r>
      <w:r>
        <w:rPr>
          <w:rFonts w:hint="eastAsia" w:ascii="宋体" w:hAnsi="宋体"/>
          <w:sz w:val="28"/>
          <w:u w:val="single"/>
        </w:rPr>
        <w:t xml:space="preserve">                       </w:t>
      </w:r>
      <w:r>
        <w:rPr>
          <w:rFonts w:hint="eastAsia" w:ascii="宋体" w:hAnsi="宋体"/>
          <w:sz w:val="28"/>
        </w:rPr>
        <w:t xml:space="preserve">         </w:t>
      </w:r>
    </w:p>
    <w:p w14:paraId="67784492">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753FA8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30ED1E90">
            <w:pPr>
              <w:adjustRightInd w:val="0"/>
              <w:snapToGrid w:val="0"/>
              <w:spacing w:line="300" w:lineRule="auto"/>
              <w:outlineLvl w:val="0"/>
              <w:rPr>
                <w:rFonts w:ascii="宋体" w:hAnsi="宋体"/>
                <w:sz w:val="24"/>
                <w:szCs w:val="24"/>
              </w:rPr>
            </w:pPr>
            <w:bookmarkStart w:id="2" w:name="_Toc254970588"/>
            <w:bookmarkStart w:id="3" w:name="_Toc171349578"/>
            <w:bookmarkStart w:id="4" w:name="_Toc173066401"/>
            <w:bookmarkStart w:id="5" w:name="_Toc173211900"/>
            <w:bookmarkStart w:id="6" w:name="_Toc254970729"/>
            <w:bookmarkStart w:id="7" w:name="_Toc405905876"/>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2ADA5E7C">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7024D2A8">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0924F936">
            <w:pPr>
              <w:adjustRightInd w:val="0"/>
              <w:snapToGrid w:val="0"/>
              <w:spacing w:line="300" w:lineRule="auto"/>
              <w:jc w:val="center"/>
              <w:outlineLvl w:val="0"/>
              <w:rPr>
                <w:rFonts w:ascii="宋体" w:hAnsi="宋体"/>
                <w:sz w:val="24"/>
                <w:szCs w:val="24"/>
              </w:rPr>
            </w:pPr>
            <w:bookmarkStart w:id="8" w:name="_Toc254970732"/>
            <w:bookmarkStart w:id="9" w:name="_Toc254970591"/>
            <w:bookmarkStart w:id="10" w:name="_Toc171349581"/>
            <w:bookmarkStart w:id="11" w:name="_Toc173066404"/>
            <w:bookmarkStart w:id="12" w:name="_Toc173211903"/>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05EAE73A">
            <w:pPr>
              <w:adjustRightInd w:val="0"/>
              <w:snapToGrid w:val="0"/>
              <w:spacing w:line="300" w:lineRule="auto"/>
              <w:jc w:val="center"/>
              <w:outlineLvl w:val="0"/>
              <w:rPr>
                <w:rFonts w:ascii="宋体" w:hAnsi="宋体"/>
                <w:sz w:val="24"/>
                <w:szCs w:val="24"/>
              </w:rPr>
            </w:pPr>
            <w:bookmarkStart w:id="14" w:name="_Toc173066405"/>
            <w:bookmarkStart w:id="15" w:name="_Toc173211904"/>
            <w:bookmarkStart w:id="16" w:name="_Toc171349582"/>
            <w:bookmarkStart w:id="17" w:name="_Toc254970733"/>
            <w:bookmarkStart w:id="18" w:name="_Toc254970592"/>
            <w:bookmarkStart w:id="19" w:name="_Toc405905880"/>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0284C4D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0F317698">
            <w:pPr>
              <w:adjustRightInd w:val="0"/>
              <w:snapToGrid w:val="0"/>
              <w:spacing w:line="360" w:lineRule="auto"/>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291524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73A390FF">
            <w:pPr>
              <w:adjustRightInd w:val="0"/>
              <w:snapToGrid w:val="0"/>
              <w:spacing w:line="240" w:lineRule="exact"/>
              <w:jc w:val="center"/>
              <w:outlineLvl w:val="0"/>
              <w:rPr>
                <w:rFonts w:ascii="宋体" w:hAnsi="宋体"/>
                <w:sz w:val="24"/>
                <w:szCs w:val="24"/>
              </w:rPr>
            </w:pPr>
            <w:bookmarkStart w:id="22" w:name="_Toc173211905"/>
            <w:bookmarkStart w:id="23" w:name="_Toc171349584"/>
            <w:bookmarkStart w:id="24" w:name="_Toc254970593"/>
            <w:bookmarkStart w:id="25" w:name="_Toc173066406"/>
            <w:bookmarkStart w:id="26" w:name="_Toc254970734"/>
            <w:bookmarkStart w:id="27" w:name="_Toc405905882"/>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45AD0119">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9650BA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82FE4B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94E41B7">
            <w:pPr>
              <w:adjustRightInd w:val="0"/>
              <w:snapToGrid w:val="0"/>
              <w:spacing w:line="240" w:lineRule="exact"/>
              <w:jc w:val="center"/>
              <w:outlineLvl w:val="0"/>
              <w:rPr>
                <w:rFonts w:ascii="宋体" w:hAnsi="宋体"/>
                <w:sz w:val="24"/>
                <w:szCs w:val="24"/>
              </w:rPr>
            </w:pPr>
          </w:p>
        </w:tc>
      </w:tr>
      <w:tr w14:paraId="12CBF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D79FAFA">
            <w:pPr>
              <w:adjustRightInd w:val="0"/>
              <w:snapToGrid w:val="0"/>
              <w:spacing w:line="240" w:lineRule="exact"/>
              <w:jc w:val="center"/>
              <w:outlineLvl w:val="0"/>
              <w:rPr>
                <w:rFonts w:ascii="宋体" w:hAnsi="宋体"/>
                <w:sz w:val="24"/>
                <w:szCs w:val="24"/>
              </w:rPr>
            </w:pPr>
            <w:bookmarkStart w:id="28" w:name="_Toc405905883"/>
            <w:bookmarkStart w:id="29" w:name="_Toc171349585"/>
            <w:bookmarkStart w:id="30" w:name="_Toc254970594"/>
            <w:bookmarkStart w:id="31" w:name="_Toc254970735"/>
            <w:bookmarkStart w:id="32" w:name="_Toc173066407"/>
            <w:bookmarkStart w:id="33" w:name="_Toc173211906"/>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0BBEEA06">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2ED81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D607D3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5BF99D01">
            <w:pPr>
              <w:adjustRightInd w:val="0"/>
              <w:snapToGrid w:val="0"/>
              <w:spacing w:line="240" w:lineRule="exact"/>
              <w:jc w:val="center"/>
              <w:outlineLvl w:val="0"/>
              <w:rPr>
                <w:rFonts w:ascii="宋体" w:hAnsi="宋体"/>
                <w:sz w:val="24"/>
                <w:szCs w:val="24"/>
              </w:rPr>
            </w:pPr>
          </w:p>
        </w:tc>
      </w:tr>
      <w:tr w14:paraId="169B1C8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E5986FB">
            <w:pPr>
              <w:adjustRightInd w:val="0"/>
              <w:snapToGrid w:val="0"/>
              <w:spacing w:line="240" w:lineRule="exact"/>
              <w:jc w:val="center"/>
              <w:outlineLvl w:val="0"/>
              <w:rPr>
                <w:rFonts w:ascii="宋体" w:hAnsi="宋体"/>
                <w:sz w:val="24"/>
                <w:szCs w:val="24"/>
              </w:rPr>
            </w:pPr>
            <w:bookmarkStart w:id="34" w:name="_Toc254970736"/>
            <w:bookmarkStart w:id="35" w:name="_Toc173211907"/>
            <w:bookmarkStart w:id="36" w:name="_Toc254970595"/>
            <w:bookmarkStart w:id="37" w:name="_Toc171349586"/>
            <w:bookmarkStart w:id="38" w:name="_Toc405905884"/>
            <w:bookmarkStart w:id="39" w:name="_Toc173066408"/>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28C7CEC7">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D392E3F">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6E394B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072D13A">
            <w:pPr>
              <w:adjustRightInd w:val="0"/>
              <w:snapToGrid w:val="0"/>
              <w:spacing w:line="240" w:lineRule="exact"/>
              <w:jc w:val="center"/>
              <w:outlineLvl w:val="0"/>
              <w:rPr>
                <w:rFonts w:ascii="宋体" w:hAnsi="宋体"/>
                <w:sz w:val="24"/>
                <w:szCs w:val="24"/>
              </w:rPr>
            </w:pPr>
          </w:p>
        </w:tc>
      </w:tr>
      <w:tr w14:paraId="1DE25F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7675508">
            <w:pPr>
              <w:adjustRightInd w:val="0"/>
              <w:snapToGrid w:val="0"/>
              <w:spacing w:line="240" w:lineRule="exact"/>
              <w:jc w:val="center"/>
              <w:outlineLvl w:val="0"/>
              <w:rPr>
                <w:rFonts w:ascii="宋体" w:hAnsi="宋体"/>
                <w:sz w:val="24"/>
                <w:szCs w:val="24"/>
              </w:rPr>
            </w:pPr>
            <w:bookmarkStart w:id="40" w:name="_Toc405905885"/>
            <w:bookmarkStart w:id="41" w:name="_Toc171349587"/>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68936D64">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7F4AF59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1A4DB69">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B23CB6F">
            <w:pPr>
              <w:adjustRightInd w:val="0"/>
              <w:snapToGrid w:val="0"/>
              <w:spacing w:line="240" w:lineRule="exact"/>
              <w:jc w:val="center"/>
              <w:outlineLvl w:val="0"/>
              <w:rPr>
                <w:rFonts w:ascii="宋体" w:hAnsi="宋体"/>
                <w:sz w:val="24"/>
                <w:szCs w:val="24"/>
              </w:rPr>
            </w:pPr>
          </w:p>
        </w:tc>
      </w:tr>
      <w:tr w14:paraId="394871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6DCE8E2F">
            <w:pPr>
              <w:adjustRightInd w:val="0"/>
              <w:snapToGrid w:val="0"/>
              <w:spacing w:line="360" w:lineRule="auto"/>
              <w:jc w:val="center"/>
              <w:outlineLvl w:val="0"/>
              <w:rPr>
                <w:rFonts w:ascii="宋体" w:hAnsi="宋体"/>
                <w:sz w:val="24"/>
                <w:szCs w:val="24"/>
              </w:rPr>
            </w:pPr>
            <w:bookmarkStart w:id="42" w:name="_Toc405905886"/>
            <w:bookmarkStart w:id="43" w:name="_Toc171349588"/>
            <w:r>
              <w:rPr>
                <w:rFonts w:hint="eastAsia" w:ascii="宋体" w:hAnsi="宋体"/>
                <w:sz w:val="24"/>
              </w:rPr>
              <w:t>技术部分</w:t>
            </w:r>
            <w:bookmarkEnd w:id="42"/>
            <w:bookmarkEnd w:id="43"/>
          </w:p>
        </w:tc>
      </w:tr>
      <w:tr w14:paraId="3580588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6C0E36C0">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26EA618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07E946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6B5C3FC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910376E">
            <w:pPr>
              <w:adjustRightInd w:val="0"/>
              <w:snapToGrid w:val="0"/>
              <w:spacing w:line="240" w:lineRule="exact"/>
              <w:jc w:val="center"/>
              <w:outlineLvl w:val="0"/>
              <w:rPr>
                <w:rFonts w:ascii="宋体" w:hAnsi="宋体"/>
                <w:sz w:val="24"/>
                <w:szCs w:val="24"/>
              </w:rPr>
            </w:pPr>
          </w:p>
        </w:tc>
      </w:tr>
      <w:tr w14:paraId="7EAA3C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F3F8A29">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6F558E2C">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497BFBF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0C5BC5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915405D">
            <w:pPr>
              <w:adjustRightInd w:val="0"/>
              <w:snapToGrid w:val="0"/>
              <w:spacing w:line="240" w:lineRule="exact"/>
              <w:jc w:val="center"/>
              <w:outlineLvl w:val="0"/>
              <w:rPr>
                <w:rFonts w:ascii="宋体" w:hAnsi="宋体"/>
                <w:sz w:val="24"/>
                <w:szCs w:val="24"/>
              </w:rPr>
            </w:pPr>
          </w:p>
        </w:tc>
      </w:tr>
      <w:tr w14:paraId="72F588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41B4BA8">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315DAA2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2E85DFD9">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5D2605B">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3B4EC1EC">
            <w:pPr>
              <w:adjustRightInd w:val="0"/>
              <w:snapToGrid w:val="0"/>
              <w:spacing w:line="240" w:lineRule="exact"/>
              <w:jc w:val="center"/>
              <w:outlineLvl w:val="0"/>
              <w:rPr>
                <w:rFonts w:ascii="宋体" w:hAnsi="宋体"/>
                <w:sz w:val="24"/>
                <w:szCs w:val="24"/>
              </w:rPr>
            </w:pPr>
          </w:p>
        </w:tc>
      </w:tr>
      <w:tr w14:paraId="3C6779E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0DFFFF1B">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13600AC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59D87B2C">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46717C8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23BE3E0D">
            <w:pPr>
              <w:adjustRightInd w:val="0"/>
              <w:snapToGrid w:val="0"/>
              <w:spacing w:line="240" w:lineRule="exact"/>
              <w:jc w:val="center"/>
              <w:outlineLvl w:val="0"/>
              <w:rPr>
                <w:rFonts w:ascii="宋体" w:hAnsi="宋体"/>
                <w:sz w:val="24"/>
                <w:szCs w:val="24"/>
              </w:rPr>
            </w:pPr>
          </w:p>
        </w:tc>
      </w:tr>
    </w:tbl>
    <w:p w14:paraId="78D08A21">
      <w:pPr>
        <w:adjustRightInd w:val="0"/>
        <w:snapToGrid w:val="0"/>
        <w:spacing w:line="460" w:lineRule="exact"/>
        <w:rPr>
          <w:rFonts w:hint="eastAsia" w:ascii="仿宋" w:hAnsi="仿宋" w:eastAsia="仿宋" w:cs="仿宋"/>
          <w:sz w:val="28"/>
          <w:szCs w:val="28"/>
        </w:rPr>
      </w:pPr>
      <w:r>
        <w:rPr>
          <w:rFonts w:hint="eastAsia" w:ascii="仿宋" w:hAnsi="仿宋" w:eastAsia="仿宋" w:cs="仿宋"/>
          <w:sz w:val="28"/>
          <w:szCs w:val="28"/>
        </w:rPr>
        <w:t>说明：</w:t>
      </w:r>
    </w:p>
    <w:p w14:paraId="255CF883">
      <w:pPr>
        <w:adjustRightInd w:val="0"/>
        <w:snapToGrid w:val="0"/>
        <w:spacing w:line="460" w:lineRule="exact"/>
        <w:rPr>
          <w:rFonts w:hint="eastAsia" w:ascii="仿宋" w:hAnsi="仿宋" w:eastAsia="仿宋" w:cs="仿宋"/>
          <w:kern w:val="0"/>
          <w:sz w:val="28"/>
          <w:szCs w:val="28"/>
        </w:rPr>
      </w:pPr>
      <w:r>
        <w:rPr>
          <w:rFonts w:hint="eastAsia" w:ascii="仿宋" w:hAnsi="仿宋" w:eastAsia="仿宋" w:cs="仿宋"/>
          <w:kern w:val="0"/>
          <w:sz w:val="28"/>
          <w:szCs w:val="28"/>
        </w:rPr>
        <w:t>1.应对照采购要求中参数要求和商务要求逐条作明确的响应，并作出偏离说明。</w:t>
      </w:r>
    </w:p>
    <w:p w14:paraId="70B70754">
      <w:pPr>
        <w:spacing w:line="400" w:lineRule="exact"/>
        <w:jc w:val="left"/>
        <w:rPr>
          <w:rFonts w:hint="eastAsia" w:ascii="仿宋" w:hAnsi="仿宋" w:eastAsia="仿宋" w:cs="仿宋"/>
          <w:kern w:val="0"/>
          <w:sz w:val="28"/>
          <w:szCs w:val="28"/>
        </w:rPr>
      </w:pPr>
      <w:r>
        <w:rPr>
          <w:rFonts w:hint="eastAsia" w:ascii="仿宋" w:hAnsi="仿宋" w:eastAsia="仿宋" w:cs="仿宋"/>
          <w:kern w:val="0"/>
          <w:sz w:val="28"/>
          <w:szCs w:val="28"/>
        </w:rPr>
        <w:t>2.如果参数要求为小于、小于等于、大于或大于等于某个数值标准时，</w:t>
      </w:r>
      <w:r>
        <w:rPr>
          <w:rFonts w:hint="eastAsia" w:ascii="仿宋" w:hAnsi="仿宋" w:eastAsia="仿宋" w:cs="仿宋"/>
          <w:b/>
          <w:color w:val="FF0000"/>
          <w:kern w:val="0"/>
          <w:sz w:val="28"/>
          <w:szCs w:val="28"/>
        </w:rPr>
        <w:t>报价文件承诺不得直接复制采购需求</w:t>
      </w:r>
      <w:r>
        <w:rPr>
          <w:rFonts w:hint="eastAsia" w:ascii="仿宋" w:hAnsi="仿宋" w:eastAsia="仿宋" w:cs="仿宋"/>
          <w:kern w:val="0"/>
          <w:sz w:val="28"/>
          <w:szCs w:val="28"/>
        </w:rPr>
        <w:t>，</w:t>
      </w:r>
      <w:r>
        <w:rPr>
          <w:rFonts w:hint="eastAsia" w:ascii="仿宋" w:hAnsi="仿宋" w:eastAsia="仿宋" w:cs="仿宋"/>
          <w:b/>
          <w:kern w:val="0"/>
          <w:sz w:val="28"/>
          <w:szCs w:val="28"/>
        </w:rPr>
        <w:t>报价文件应当写明具体参数或商务响应承诺的具体数值</w:t>
      </w:r>
      <w:r>
        <w:rPr>
          <w:rFonts w:hint="eastAsia" w:ascii="仿宋" w:hAnsi="仿宋" w:eastAsia="仿宋" w:cs="仿宋"/>
          <w:kern w:val="0"/>
          <w:sz w:val="28"/>
          <w:szCs w:val="28"/>
        </w:rPr>
        <w:t>。</w:t>
      </w:r>
    </w:p>
    <w:p w14:paraId="5FFE5DA2">
      <w:pPr>
        <w:spacing w:line="400" w:lineRule="exact"/>
        <w:ind w:firstLine="596" w:firstLineChars="213"/>
        <w:jc w:val="left"/>
        <w:rPr>
          <w:rFonts w:hint="eastAsia" w:ascii="仿宋" w:hAnsi="仿宋" w:eastAsia="仿宋" w:cs="仿宋"/>
          <w:kern w:val="0"/>
          <w:sz w:val="28"/>
          <w:szCs w:val="28"/>
        </w:rPr>
      </w:pPr>
      <w:r>
        <w:rPr>
          <w:rFonts w:hint="eastAsia" w:ascii="仿宋" w:hAnsi="仿宋" w:eastAsia="仿宋" w:cs="仿宋"/>
          <w:kern w:val="0"/>
          <w:sz w:val="28"/>
          <w:szCs w:val="28"/>
        </w:rPr>
        <w:t>3.报价人应根据自身的承诺，对照采购文件要求在“偏离说明”中注明</w:t>
      </w:r>
      <w:r>
        <w:rPr>
          <w:rFonts w:hint="eastAsia" w:ascii="仿宋" w:hAnsi="仿宋" w:eastAsia="仿宋" w:cs="仿宋"/>
          <w:b/>
          <w:kern w:val="0"/>
          <w:sz w:val="28"/>
          <w:szCs w:val="28"/>
        </w:rPr>
        <w:t>“正偏离”</w:t>
      </w:r>
      <w:r>
        <w:rPr>
          <w:rFonts w:hint="eastAsia" w:ascii="仿宋" w:hAnsi="仿宋" w:eastAsia="仿宋" w:cs="仿宋"/>
          <w:kern w:val="0"/>
          <w:sz w:val="28"/>
          <w:szCs w:val="28"/>
        </w:rPr>
        <w:t>或者</w:t>
      </w:r>
      <w:r>
        <w:rPr>
          <w:rFonts w:hint="eastAsia" w:ascii="仿宋" w:hAnsi="仿宋" w:eastAsia="仿宋" w:cs="仿宋"/>
          <w:b/>
          <w:kern w:val="0"/>
          <w:sz w:val="28"/>
          <w:szCs w:val="28"/>
        </w:rPr>
        <w:t>“无偏离”</w:t>
      </w:r>
      <w:r>
        <w:rPr>
          <w:rFonts w:hint="eastAsia" w:ascii="仿宋" w:hAnsi="仿宋" w:eastAsia="仿宋" w:cs="仿宋"/>
          <w:kern w:val="0"/>
          <w:sz w:val="28"/>
          <w:szCs w:val="28"/>
        </w:rPr>
        <w:t>。既不属于</w:t>
      </w:r>
      <w:r>
        <w:rPr>
          <w:rFonts w:hint="eastAsia" w:ascii="仿宋" w:hAnsi="仿宋" w:eastAsia="仿宋" w:cs="仿宋"/>
          <w:b/>
          <w:kern w:val="0"/>
          <w:sz w:val="28"/>
          <w:szCs w:val="28"/>
        </w:rPr>
        <w:t>“正偏离”</w:t>
      </w:r>
      <w:r>
        <w:rPr>
          <w:rFonts w:hint="eastAsia" w:ascii="仿宋" w:hAnsi="仿宋" w:eastAsia="仿宋" w:cs="仿宋"/>
          <w:kern w:val="0"/>
          <w:sz w:val="28"/>
          <w:szCs w:val="28"/>
        </w:rPr>
        <w:t>也不属于</w:t>
      </w:r>
      <w:r>
        <w:rPr>
          <w:rFonts w:hint="eastAsia" w:ascii="仿宋" w:hAnsi="仿宋" w:eastAsia="仿宋" w:cs="仿宋"/>
          <w:b/>
          <w:kern w:val="0"/>
          <w:sz w:val="28"/>
          <w:szCs w:val="28"/>
        </w:rPr>
        <w:t>“负偏离”</w:t>
      </w:r>
      <w:r>
        <w:rPr>
          <w:rFonts w:hint="eastAsia" w:ascii="仿宋" w:hAnsi="仿宋" w:eastAsia="仿宋" w:cs="仿宋"/>
          <w:kern w:val="0"/>
          <w:sz w:val="28"/>
          <w:szCs w:val="28"/>
        </w:rPr>
        <w:t>即为</w:t>
      </w:r>
      <w:r>
        <w:rPr>
          <w:rFonts w:hint="eastAsia" w:ascii="仿宋" w:hAnsi="仿宋" w:eastAsia="仿宋" w:cs="仿宋"/>
          <w:b/>
          <w:kern w:val="0"/>
          <w:sz w:val="28"/>
          <w:szCs w:val="28"/>
        </w:rPr>
        <w:t>“无偏离”</w:t>
      </w:r>
      <w:r>
        <w:rPr>
          <w:rFonts w:hint="eastAsia" w:ascii="仿宋" w:hAnsi="仿宋" w:eastAsia="仿宋" w:cs="仿宋"/>
          <w:kern w:val="0"/>
          <w:sz w:val="28"/>
          <w:szCs w:val="28"/>
        </w:rPr>
        <w:t>。</w:t>
      </w:r>
    </w:p>
    <w:p w14:paraId="7A15CEEF">
      <w:pPr>
        <w:pStyle w:val="7"/>
        <w:ind w:right="964" w:firstLine="8069" w:firstLineChars="2882"/>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 xml:space="preserve">报价人（公章）：                           </w:t>
      </w:r>
    </w:p>
    <w:p w14:paraId="37B2500E">
      <w:pPr>
        <w:pStyle w:val="7"/>
        <w:ind w:right="241"/>
        <w:jc w:val="right"/>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法定代表人（负责人）或委托代理人签字:</w:t>
      </w:r>
    </w:p>
    <w:p w14:paraId="45FB5FE7">
      <w:pPr>
        <w:pStyle w:val="7"/>
        <w:jc w:val="left"/>
        <w:rPr>
          <w:rFonts w:hint="eastAsia" w:ascii="仿宋" w:hAnsi="仿宋" w:eastAsia="仿宋" w:cs="仿宋"/>
          <w:kern w:val="0"/>
          <w:sz w:val="28"/>
          <w:szCs w:val="28"/>
          <w:lang w:val="en-US" w:eastAsia="zh-CN" w:bidi="ar-SA"/>
        </w:rPr>
      </w:pPr>
      <w:r>
        <w:rPr>
          <w:rFonts w:hint="eastAsia" w:ascii="仿宋" w:hAnsi="仿宋" w:eastAsia="仿宋" w:cs="仿宋"/>
          <w:kern w:val="0"/>
          <w:sz w:val="28"/>
          <w:szCs w:val="28"/>
          <w:lang w:val="en-US" w:eastAsia="zh-CN" w:bidi="ar-SA"/>
        </w:rPr>
        <w:t xml:space="preserve">      　　　　　　　　　　　　　                           日期：   年  月  日</w:t>
      </w:r>
    </w:p>
    <w:sectPr>
      <w:pgSz w:w="11906" w:h="16838"/>
      <w:pgMar w:top="567" w:right="282" w:bottom="567" w:left="284"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abstractNum w:abstractNumId="1">
    <w:nsid w:val="699A7AF0"/>
    <w:multiLevelType w:val="multilevel"/>
    <w:tmpl w:val="699A7AF0"/>
    <w:lvl w:ilvl="0" w:tentative="0">
      <w:start w:val="1"/>
      <w:numFmt w:val="japaneseCounting"/>
      <w:lvlText w:val="%1、"/>
      <w:lvlJc w:val="left"/>
      <w:pPr>
        <w:ind w:left="720" w:hanging="720"/>
      </w:pPr>
      <w:rPr>
        <w:rFonts w:hint="default" w:cs="Times New Roman"/>
        <w:b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6BD"/>
    <w:rsid w:val="000018D7"/>
    <w:rsid w:val="00004473"/>
    <w:rsid w:val="0000773F"/>
    <w:rsid w:val="000353E4"/>
    <w:rsid w:val="000371B6"/>
    <w:rsid w:val="00041884"/>
    <w:rsid w:val="00055D18"/>
    <w:rsid w:val="00082A57"/>
    <w:rsid w:val="00085DC7"/>
    <w:rsid w:val="00091BBA"/>
    <w:rsid w:val="000923F6"/>
    <w:rsid w:val="00093CB1"/>
    <w:rsid w:val="00097D3A"/>
    <w:rsid w:val="000A3C1B"/>
    <w:rsid w:val="000A5A19"/>
    <w:rsid w:val="000C12D4"/>
    <w:rsid w:val="000C7233"/>
    <w:rsid w:val="000E7B28"/>
    <w:rsid w:val="00103A4C"/>
    <w:rsid w:val="00110976"/>
    <w:rsid w:val="00111FB3"/>
    <w:rsid w:val="00125DE1"/>
    <w:rsid w:val="00126098"/>
    <w:rsid w:val="00134FBB"/>
    <w:rsid w:val="00137857"/>
    <w:rsid w:val="00143AB3"/>
    <w:rsid w:val="00147DB2"/>
    <w:rsid w:val="00161A9C"/>
    <w:rsid w:val="0016583F"/>
    <w:rsid w:val="00170FBE"/>
    <w:rsid w:val="001819B9"/>
    <w:rsid w:val="001A3AD1"/>
    <w:rsid w:val="001B5FA5"/>
    <w:rsid w:val="001C3BDA"/>
    <w:rsid w:val="001D3CCC"/>
    <w:rsid w:val="001D65E5"/>
    <w:rsid w:val="001E526E"/>
    <w:rsid w:val="00203CF6"/>
    <w:rsid w:val="0021720B"/>
    <w:rsid w:val="00223015"/>
    <w:rsid w:val="00245A85"/>
    <w:rsid w:val="0026380E"/>
    <w:rsid w:val="002720D2"/>
    <w:rsid w:val="002724AA"/>
    <w:rsid w:val="00284B2E"/>
    <w:rsid w:val="002E25C1"/>
    <w:rsid w:val="003005C7"/>
    <w:rsid w:val="003006F3"/>
    <w:rsid w:val="00302685"/>
    <w:rsid w:val="0031193C"/>
    <w:rsid w:val="003242E3"/>
    <w:rsid w:val="003517AE"/>
    <w:rsid w:val="00357151"/>
    <w:rsid w:val="003841BF"/>
    <w:rsid w:val="0038781F"/>
    <w:rsid w:val="003A7361"/>
    <w:rsid w:val="003A778C"/>
    <w:rsid w:val="003B19FE"/>
    <w:rsid w:val="003B2D64"/>
    <w:rsid w:val="003C27EA"/>
    <w:rsid w:val="003C6274"/>
    <w:rsid w:val="003C6AF5"/>
    <w:rsid w:val="003D1DF7"/>
    <w:rsid w:val="003F002C"/>
    <w:rsid w:val="003F4F5F"/>
    <w:rsid w:val="004215D2"/>
    <w:rsid w:val="00435A85"/>
    <w:rsid w:val="00450776"/>
    <w:rsid w:val="00473999"/>
    <w:rsid w:val="00475758"/>
    <w:rsid w:val="00477542"/>
    <w:rsid w:val="004808DC"/>
    <w:rsid w:val="00481096"/>
    <w:rsid w:val="00484983"/>
    <w:rsid w:val="004876BD"/>
    <w:rsid w:val="004A047B"/>
    <w:rsid w:val="004A144E"/>
    <w:rsid w:val="004A1686"/>
    <w:rsid w:val="004B0F43"/>
    <w:rsid w:val="004B399E"/>
    <w:rsid w:val="004B50B7"/>
    <w:rsid w:val="004B5C02"/>
    <w:rsid w:val="004B5D6F"/>
    <w:rsid w:val="004D39AE"/>
    <w:rsid w:val="004D71C9"/>
    <w:rsid w:val="004E47D4"/>
    <w:rsid w:val="004E56D9"/>
    <w:rsid w:val="004F4853"/>
    <w:rsid w:val="00530FA9"/>
    <w:rsid w:val="00540D48"/>
    <w:rsid w:val="005417EA"/>
    <w:rsid w:val="00544392"/>
    <w:rsid w:val="00545F20"/>
    <w:rsid w:val="005527E5"/>
    <w:rsid w:val="0056697D"/>
    <w:rsid w:val="00567370"/>
    <w:rsid w:val="0057651C"/>
    <w:rsid w:val="0058310B"/>
    <w:rsid w:val="00583B87"/>
    <w:rsid w:val="005912AA"/>
    <w:rsid w:val="00591B20"/>
    <w:rsid w:val="005A28E4"/>
    <w:rsid w:val="005A2C42"/>
    <w:rsid w:val="005B6934"/>
    <w:rsid w:val="005B7AD7"/>
    <w:rsid w:val="005C0A72"/>
    <w:rsid w:val="005D169E"/>
    <w:rsid w:val="005E6B06"/>
    <w:rsid w:val="00601983"/>
    <w:rsid w:val="00602370"/>
    <w:rsid w:val="0060364D"/>
    <w:rsid w:val="00630019"/>
    <w:rsid w:val="00646167"/>
    <w:rsid w:val="00664795"/>
    <w:rsid w:val="00677DB4"/>
    <w:rsid w:val="0068443C"/>
    <w:rsid w:val="006A4D42"/>
    <w:rsid w:val="006B482F"/>
    <w:rsid w:val="006C7F0E"/>
    <w:rsid w:val="006E3DB3"/>
    <w:rsid w:val="006E627A"/>
    <w:rsid w:val="00704EEE"/>
    <w:rsid w:val="007119C0"/>
    <w:rsid w:val="0071754A"/>
    <w:rsid w:val="00733061"/>
    <w:rsid w:val="0074537E"/>
    <w:rsid w:val="00746EB5"/>
    <w:rsid w:val="00771256"/>
    <w:rsid w:val="00776334"/>
    <w:rsid w:val="00780E24"/>
    <w:rsid w:val="00787A90"/>
    <w:rsid w:val="007A25FA"/>
    <w:rsid w:val="007B3216"/>
    <w:rsid w:val="007F5CD8"/>
    <w:rsid w:val="007F67CC"/>
    <w:rsid w:val="00804F65"/>
    <w:rsid w:val="008450BD"/>
    <w:rsid w:val="00853E6F"/>
    <w:rsid w:val="00857607"/>
    <w:rsid w:val="00870FEB"/>
    <w:rsid w:val="008872C6"/>
    <w:rsid w:val="00893A92"/>
    <w:rsid w:val="00895149"/>
    <w:rsid w:val="008A0FDD"/>
    <w:rsid w:val="008E0AA6"/>
    <w:rsid w:val="008E2BBD"/>
    <w:rsid w:val="009225D0"/>
    <w:rsid w:val="009225FE"/>
    <w:rsid w:val="009276C3"/>
    <w:rsid w:val="009449B4"/>
    <w:rsid w:val="00951FAE"/>
    <w:rsid w:val="00955C64"/>
    <w:rsid w:val="00967AD8"/>
    <w:rsid w:val="00967E5C"/>
    <w:rsid w:val="00980E85"/>
    <w:rsid w:val="00982041"/>
    <w:rsid w:val="00992C20"/>
    <w:rsid w:val="009B316D"/>
    <w:rsid w:val="009B56E3"/>
    <w:rsid w:val="009C2E25"/>
    <w:rsid w:val="009D231C"/>
    <w:rsid w:val="009D3F71"/>
    <w:rsid w:val="009E741C"/>
    <w:rsid w:val="009E7CDD"/>
    <w:rsid w:val="009F4293"/>
    <w:rsid w:val="009F61EB"/>
    <w:rsid w:val="00A02E6E"/>
    <w:rsid w:val="00A05B62"/>
    <w:rsid w:val="00A20C30"/>
    <w:rsid w:val="00A5798F"/>
    <w:rsid w:val="00A64F73"/>
    <w:rsid w:val="00A669E2"/>
    <w:rsid w:val="00A92E08"/>
    <w:rsid w:val="00AA101B"/>
    <w:rsid w:val="00AB4824"/>
    <w:rsid w:val="00AC4444"/>
    <w:rsid w:val="00AC66CC"/>
    <w:rsid w:val="00AD3232"/>
    <w:rsid w:val="00AD3C1E"/>
    <w:rsid w:val="00AE5463"/>
    <w:rsid w:val="00AF4A09"/>
    <w:rsid w:val="00B02F55"/>
    <w:rsid w:val="00B07F1A"/>
    <w:rsid w:val="00B16D94"/>
    <w:rsid w:val="00B171A5"/>
    <w:rsid w:val="00B300A6"/>
    <w:rsid w:val="00B3500A"/>
    <w:rsid w:val="00B566C4"/>
    <w:rsid w:val="00B766AF"/>
    <w:rsid w:val="00B936BD"/>
    <w:rsid w:val="00BA0493"/>
    <w:rsid w:val="00BA1CC8"/>
    <w:rsid w:val="00BB7677"/>
    <w:rsid w:val="00BE3153"/>
    <w:rsid w:val="00C31B42"/>
    <w:rsid w:val="00C43775"/>
    <w:rsid w:val="00C53746"/>
    <w:rsid w:val="00C608B4"/>
    <w:rsid w:val="00C72A1B"/>
    <w:rsid w:val="00C9263A"/>
    <w:rsid w:val="00C928EB"/>
    <w:rsid w:val="00CB1097"/>
    <w:rsid w:val="00CD438B"/>
    <w:rsid w:val="00CF0708"/>
    <w:rsid w:val="00D137C2"/>
    <w:rsid w:val="00D21FA4"/>
    <w:rsid w:val="00D2458C"/>
    <w:rsid w:val="00D30EB7"/>
    <w:rsid w:val="00D31817"/>
    <w:rsid w:val="00D47A16"/>
    <w:rsid w:val="00D517FA"/>
    <w:rsid w:val="00D53546"/>
    <w:rsid w:val="00D749F4"/>
    <w:rsid w:val="00D931C0"/>
    <w:rsid w:val="00D94717"/>
    <w:rsid w:val="00D94744"/>
    <w:rsid w:val="00DA141F"/>
    <w:rsid w:val="00DD299E"/>
    <w:rsid w:val="00DD2AF4"/>
    <w:rsid w:val="00DE1083"/>
    <w:rsid w:val="00DF1487"/>
    <w:rsid w:val="00E126EC"/>
    <w:rsid w:val="00E364D2"/>
    <w:rsid w:val="00E5096A"/>
    <w:rsid w:val="00E55527"/>
    <w:rsid w:val="00E70646"/>
    <w:rsid w:val="00EB2CDB"/>
    <w:rsid w:val="00EB66A6"/>
    <w:rsid w:val="00F009A6"/>
    <w:rsid w:val="00F04090"/>
    <w:rsid w:val="00F13735"/>
    <w:rsid w:val="00F2656E"/>
    <w:rsid w:val="00F326E6"/>
    <w:rsid w:val="00F337DA"/>
    <w:rsid w:val="00F37774"/>
    <w:rsid w:val="00F50F96"/>
    <w:rsid w:val="00F51F16"/>
    <w:rsid w:val="00F53703"/>
    <w:rsid w:val="00F73AA4"/>
    <w:rsid w:val="00F762F8"/>
    <w:rsid w:val="00F9005E"/>
    <w:rsid w:val="00FA0419"/>
    <w:rsid w:val="00FB08FE"/>
    <w:rsid w:val="00FC331E"/>
    <w:rsid w:val="00FD5DFE"/>
    <w:rsid w:val="00FE2318"/>
    <w:rsid w:val="0324190E"/>
    <w:rsid w:val="033D5CF3"/>
    <w:rsid w:val="05B955A9"/>
    <w:rsid w:val="07C71420"/>
    <w:rsid w:val="0C911AFA"/>
    <w:rsid w:val="0D7B1CD9"/>
    <w:rsid w:val="0DE15120"/>
    <w:rsid w:val="0F7909A8"/>
    <w:rsid w:val="0FE93A22"/>
    <w:rsid w:val="105D1B31"/>
    <w:rsid w:val="17397720"/>
    <w:rsid w:val="1A675CCB"/>
    <w:rsid w:val="1AAB0964"/>
    <w:rsid w:val="1AB10E35"/>
    <w:rsid w:val="1B4C2DCA"/>
    <w:rsid w:val="1B912C21"/>
    <w:rsid w:val="1F2D6B06"/>
    <w:rsid w:val="1F752E36"/>
    <w:rsid w:val="20A2669B"/>
    <w:rsid w:val="21BA5437"/>
    <w:rsid w:val="22A52928"/>
    <w:rsid w:val="231E1F2F"/>
    <w:rsid w:val="234A77AC"/>
    <w:rsid w:val="236553F8"/>
    <w:rsid w:val="252218B8"/>
    <w:rsid w:val="25EA35B4"/>
    <w:rsid w:val="284F78ED"/>
    <w:rsid w:val="28F579E2"/>
    <w:rsid w:val="2B183A7F"/>
    <w:rsid w:val="2B5B3134"/>
    <w:rsid w:val="2BBC5306"/>
    <w:rsid w:val="2C8F0B18"/>
    <w:rsid w:val="2CD63E90"/>
    <w:rsid w:val="303A0730"/>
    <w:rsid w:val="316424EB"/>
    <w:rsid w:val="32DD4E3E"/>
    <w:rsid w:val="33194A17"/>
    <w:rsid w:val="337B0434"/>
    <w:rsid w:val="36495163"/>
    <w:rsid w:val="37FC2926"/>
    <w:rsid w:val="39124E76"/>
    <w:rsid w:val="39C91410"/>
    <w:rsid w:val="3BEC5927"/>
    <w:rsid w:val="3D271595"/>
    <w:rsid w:val="3EA75205"/>
    <w:rsid w:val="411611BE"/>
    <w:rsid w:val="474B326E"/>
    <w:rsid w:val="49C63677"/>
    <w:rsid w:val="4AA44035"/>
    <w:rsid w:val="4EA26AF3"/>
    <w:rsid w:val="53152BA8"/>
    <w:rsid w:val="53C04CFE"/>
    <w:rsid w:val="5412686F"/>
    <w:rsid w:val="550567EF"/>
    <w:rsid w:val="593C279C"/>
    <w:rsid w:val="5C1C2E1C"/>
    <w:rsid w:val="5DFD28D7"/>
    <w:rsid w:val="5EC6574C"/>
    <w:rsid w:val="613F280A"/>
    <w:rsid w:val="62C159A8"/>
    <w:rsid w:val="63772297"/>
    <w:rsid w:val="63EE34BC"/>
    <w:rsid w:val="68A43AD7"/>
    <w:rsid w:val="6A8A50E7"/>
    <w:rsid w:val="6DE11058"/>
    <w:rsid w:val="6E376F24"/>
    <w:rsid w:val="6E985356"/>
    <w:rsid w:val="6EE55A91"/>
    <w:rsid w:val="7066285B"/>
    <w:rsid w:val="70BA2651"/>
    <w:rsid w:val="72325AFB"/>
    <w:rsid w:val="736F0309"/>
    <w:rsid w:val="73FF4DDC"/>
    <w:rsid w:val="742001FF"/>
    <w:rsid w:val="75106CE6"/>
    <w:rsid w:val="75822D8C"/>
    <w:rsid w:val="75AA195E"/>
    <w:rsid w:val="75E328D1"/>
    <w:rsid w:val="773C4228"/>
    <w:rsid w:val="77DF345A"/>
    <w:rsid w:val="78090D5C"/>
    <w:rsid w:val="7A8770A4"/>
    <w:rsid w:val="7B4E6013"/>
    <w:rsid w:val="7BA30B19"/>
    <w:rsid w:val="7C00400D"/>
    <w:rsid w:val="7C9557AD"/>
    <w:rsid w:val="7CE02FBF"/>
    <w:rsid w:val="7EA420FF"/>
    <w:rsid w:val="7EC87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semiHidden/>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kern w:val="0"/>
      <w:sz w:val="20"/>
      <w:szCs w:val="20"/>
    </w:rPr>
  </w:style>
  <w:style w:type="paragraph" w:styleId="6">
    <w:name w:val="annotation text"/>
    <w:basedOn w:val="1"/>
    <w:link w:val="28"/>
    <w:semiHidden/>
    <w:unhideWhenUsed/>
    <w:qFormat/>
    <w:uiPriority w:val="99"/>
    <w:pPr>
      <w:jc w:val="left"/>
    </w:pPr>
  </w:style>
  <w:style w:type="paragraph" w:styleId="7">
    <w:name w:val="Body Text"/>
    <w:basedOn w:val="1"/>
    <w:link w:val="22"/>
    <w:unhideWhenUsed/>
    <w:qFormat/>
    <w:uiPriority w:val="99"/>
    <w:pPr>
      <w:spacing w:after="120"/>
    </w:pPr>
  </w:style>
  <w:style w:type="paragraph" w:styleId="8">
    <w:name w:val="Plain Text"/>
    <w:basedOn w:val="1"/>
    <w:next w:val="9"/>
    <w:link w:val="33"/>
    <w:qFormat/>
    <w:uiPriority w:val="99"/>
    <w:rPr>
      <w:rFonts w:ascii="宋体" w:hAnsi="Courier New"/>
    </w:rPr>
  </w:style>
  <w:style w:type="paragraph" w:styleId="9">
    <w:name w:val="Date"/>
    <w:basedOn w:val="1"/>
    <w:next w:val="1"/>
    <w:semiHidden/>
    <w:unhideWhenUsed/>
    <w:qFormat/>
    <w:uiPriority w:val="99"/>
    <w:pPr>
      <w:ind w:left="100" w:leftChars="2500"/>
    </w:pPr>
  </w:style>
  <w:style w:type="paragraph" w:styleId="10">
    <w:name w:val="Balloon Text"/>
    <w:basedOn w:val="1"/>
    <w:link w:val="30"/>
    <w:semiHidden/>
    <w:unhideWhenUsed/>
    <w:qFormat/>
    <w:uiPriority w:val="99"/>
    <w:rPr>
      <w:sz w:val="18"/>
      <w:szCs w:val="18"/>
    </w:rPr>
  </w:style>
  <w:style w:type="paragraph" w:styleId="11">
    <w:name w:val="footer"/>
    <w:basedOn w:val="1"/>
    <w:link w:val="27"/>
    <w:unhideWhenUsed/>
    <w:qFormat/>
    <w:uiPriority w:val="99"/>
    <w:pPr>
      <w:tabs>
        <w:tab w:val="center" w:pos="4153"/>
        <w:tab w:val="right" w:pos="8306"/>
      </w:tabs>
      <w:snapToGrid w:val="0"/>
      <w:jc w:val="left"/>
    </w:pPr>
    <w:rPr>
      <w:sz w:val="18"/>
      <w:szCs w:val="18"/>
    </w:rPr>
  </w:style>
  <w:style w:type="paragraph" w:styleId="12">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2"/>
    <w:basedOn w:val="1"/>
    <w:next w:val="1"/>
    <w:autoRedefine/>
    <w:semiHidden/>
    <w:unhideWhenUsed/>
    <w:qFormat/>
    <w:uiPriority w:val="39"/>
    <w:pPr>
      <w:ind w:left="420" w:leftChars="200"/>
    </w:pPr>
  </w:style>
  <w:style w:type="paragraph" w:styleId="14">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5">
    <w:name w:val="annotation subject"/>
    <w:basedOn w:val="6"/>
    <w:next w:val="6"/>
    <w:link w:val="29"/>
    <w:semiHidden/>
    <w:unhideWhenUsed/>
    <w:qFormat/>
    <w:uiPriority w:val="99"/>
    <w:rPr>
      <w:b/>
      <w:bCs/>
    </w:rPr>
  </w:style>
  <w:style w:type="paragraph" w:styleId="16">
    <w:name w:val="Body Text First Indent"/>
    <w:basedOn w:val="7"/>
    <w:link w:val="23"/>
    <w:unhideWhenUsed/>
    <w:qFormat/>
    <w:uiPriority w:val="99"/>
    <w:pPr>
      <w:ind w:firstLine="420" w:firstLineChars="100"/>
    </w:pPr>
  </w:style>
  <w:style w:type="character" w:styleId="19">
    <w:name w:val="Hyperlink"/>
    <w:basedOn w:val="18"/>
    <w:unhideWhenUsed/>
    <w:qFormat/>
    <w:uiPriority w:val="99"/>
    <w:rPr>
      <w:color w:val="0000FF" w:themeColor="hyperlink"/>
      <w:u w:val="single"/>
      <w14:textFill>
        <w14:solidFill>
          <w14:schemeClr w14:val="hlink"/>
        </w14:solidFill>
      </w14:textFill>
    </w:rPr>
  </w:style>
  <w:style w:type="character" w:styleId="20">
    <w:name w:val="annotation reference"/>
    <w:basedOn w:val="18"/>
    <w:unhideWhenUsed/>
    <w:qFormat/>
    <w:uiPriority w:val="99"/>
    <w:rPr>
      <w:sz w:val="21"/>
      <w:szCs w:val="21"/>
    </w:rPr>
  </w:style>
  <w:style w:type="paragraph" w:styleId="21">
    <w:name w:val="List Paragraph"/>
    <w:basedOn w:val="1"/>
    <w:qFormat/>
    <w:uiPriority w:val="34"/>
    <w:pPr>
      <w:ind w:firstLine="420" w:firstLineChars="200"/>
    </w:pPr>
    <w:rPr>
      <w:rFonts w:ascii="Times New Roman" w:hAnsi="Times New Roman" w:eastAsia="宋体" w:cs="Times New Roman"/>
      <w:szCs w:val="24"/>
    </w:rPr>
  </w:style>
  <w:style w:type="character" w:customStyle="1" w:styleId="22">
    <w:name w:val="正文文本 Char"/>
    <w:basedOn w:val="18"/>
    <w:link w:val="7"/>
    <w:qFormat/>
    <w:uiPriority w:val="99"/>
  </w:style>
  <w:style w:type="character" w:customStyle="1" w:styleId="23">
    <w:name w:val="正文首行缩进 Char"/>
    <w:basedOn w:val="22"/>
    <w:link w:val="16"/>
    <w:qFormat/>
    <w:uiPriority w:val="99"/>
  </w:style>
  <w:style w:type="character" w:customStyle="1" w:styleId="24">
    <w:name w:val="标题 1 Char"/>
    <w:basedOn w:val="18"/>
    <w:link w:val="2"/>
    <w:qFormat/>
    <w:uiPriority w:val="9"/>
    <w:rPr>
      <w:b/>
      <w:bCs/>
      <w:kern w:val="44"/>
      <w:sz w:val="44"/>
      <w:szCs w:val="44"/>
    </w:rPr>
  </w:style>
  <w:style w:type="character" w:customStyle="1" w:styleId="25">
    <w:name w:val="标题 2 Char"/>
    <w:basedOn w:val="18"/>
    <w:link w:val="3"/>
    <w:qFormat/>
    <w:uiPriority w:val="9"/>
    <w:rPr>
      <w:rFonts w:asciiTheme="majorHAnsi" w:hAnsiTheme="majorHAnsi" w:eastAsiaTheme="majorEastAsia" w:cstheme="majorBidi"/>
      <w:b/>
      <w:bCs/>
      <w:kern w:val="2"/>
      <w:sz w:val="32"/>
      <w:szCs w:val="32"/>
    </w:rPr>
  </w:style>
  <w:style w:type="character" w:customStyle="1" w:styleId="26">
    <w:name w:val="页眉 Char"/>
    <w:basedOn w:val="18"/>
    <w:link w:val="12"/>
    <w:qFormat/>
    <w:uiPriority w:val="99"/>
    <w:rPr>
      <w:rFonts w:asciiTheme="minorHAnsi" w:hAnsiTheme="minorHAnsi" w:eastAsiaTheme="minorEastAsia" w:cstheme="minorBidi"/>
      <w:kern w:val="2"/>
      <w:sz w:val="18"/>
      <w:szCs w:val="18"/>
    </w:rPr>
  </w:style>
  <w:style w:type="character" w:customStyle="1" w:styleId="27">
    <w:name w:val="页脚 Char"/>
    <w:basedOn w:val="18"/>
    <w:link w:val="11"/>
    <w:qFormat/>
    <w:uiPriority w:val="99"/>
    <w:rPr>
      <w:rFonts w:asciiTheme="minorHAnsi" w:hAnsiTheme="minorHAnsi" w:eastAsiaTheme="minorEastAsia" w:cstheme="minorBidi"/>
      <w:kern w:val="2"/>
      <w:sz w:val="18"/>
      <w:szCs w:val="18"/>
    </w:rPr>
  </w:style>
  <w:style w:type="character" w:customStyle="1" w:styleId="28">
    <w:name w:val="批注文字 Char"/>
    <w:basedOn w:val="18"/>
    <w:link w:val="6"/>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5"/>
    <w:semiHidden/>
    <w:qFormat/>
    <w:uiPriority w:val="99"/>
    <w:rPr>
      <w:rFonts w:asciiTheme="minorHAnsi" w:hAnsiTheme="minorHAnsi" w:eastAsiaTheme="minorEastAsia" w:cstheme="minorBidi"/>
      <w:b/>
      <w:bCs/>
      <w:kern w:val="2"/>
      <w:sz w:val="21"/>
      <w:szCs w:val="22"/>
    </w:rPr>
  </w:style>
  <w:style w:type="character" w:customStyle="1" w:styleId="30">
    <w:name w:val="批注框文本 Char"/>
    <w:basedOn w:val="18"/>
    <w:link w:val="10"/>
    <w:semiHidden/>
    <w:qFormat/>
    <w:uiPriority w:val="99"/>
    <w:rPr>
      <w:rFonts w:asciiTheme="minorHAnsi" w:hAnsiTheme="minorHAnsi" w:eastAsiaTheme="minorEastAsia" w:cstheme="minorBidi"/>
      <w:kern w:val="2"/>
      <w:sz w:val="18"/>
      <w:szCs w:val="18"/>
    </w:rPr>
  </w:style>
  <w:style w:type="paragraph" w:customStyle="1" w:styleId="31">
    <w:name w:val="正文0"/>
    <w:basedOn w:val="1"/>
    <w:qFormat/>
    <w:uiPriority w:val="0"/>
    <w:pPr>
      <w:autoSpaceDE w:val="0"/>
      <w:autoSpaceDN w:val="0"/>
      <w:adjustRightInd w:val="0"/>
      <w:spacing w:before="240" w:after="60" w:line="360" w:lineRule="atLeast"/>
    </w:pPr>
    <w:rPr>
      <w:rFonts w:ascii="Times New Roman" w:hAnsi="Times New Roman" w:eastAsia="宋体" w:cs="Times New Roman"/>
      <w:b/>
      <w:kern w:val="0"/>
      <w:sz w:val="24"/>
      <w:szCs w:val="20"/>
    </w:rPr>
  </w:style>
  <w:style w:type="character" w:customStyle="1" w:styleId="32">
    <w:name w:val="标题 3 Char"/>
    <w:basedOn w:val="18"/>
    <w:link w:val="4"/>
    <w:semiHidden/>
    <w:qFormat/>
    <w:uiPriority w:val="9"/>
    <w:rPr>
      <w:b/>
      <w:bCs/>
      <w:kern w:val="2"/>
      <w:sz w:val="32"/>
      <w:szCs w:val="32"/>
    </w:rPr>
  </w:style>
  <w:style w:type="character" w:customStyle="1" w:styleId="33">
    <w:name w:val="纯文本 Char"/>
    <w:link w:val="8"/>
    <w:qFormat/>
    <w:uiPriority w:val="99"/>
    <w:rPr>
      <w:rFonts w:ascii="宋体" w:hAnsi="Courier New"/>
      <w:kern w:val="2"/>
      <w:sz w:val="21"/>
      <w:szCs w:val="22"/>
    </w:rPr>
  </w:style>
  <w:style w:type="paragraph" w:customStyle="1" w:styleId="34">
    <w:name w:val="Revision"/>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35">
    <w:name w:val="font41"/>
    <w:qFormat/>
    <w:uiPriority w:val="0"/>
    <w:rPr>
      <w:rFonts w:hint="eastAsia" w:ascii="宋体" w:hAnsi="宋体" w:eastAsia="宋体" w:cs="宋体"/>
      <w:color w:val="000000"/>
      <w:sz w:val="20"/>
      <w:szCs w:val="20"/>
      <w:u w:val="none"/>
    </w:rPr>
  </w:style>
  <w:style w:type="paragraph" w:customStyle="1" w:styleId="36">
    <w:name w:val="标题2"/>
    <w:basedOn w:val="1"/>
    <w:next w:val="1"/>
    <w:qFormat/>
    <w:uiPriority w:val="0"/>
    <w:pPr>
      <w:ind w:firstLine="0" w:firstLineChars="0"/>
      <w:outlineLvl w:val="1"/>
    </w:pPr>
    <w:rPr>
      <w:b/>
    </w:rPr>
  </w:style>
  <w:style w:type="paragraph" w:customStyle="1" w:styleId="37">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20</Pages>
  <Words>6753</Words>
  <Characters>6926</Characters>
  <Lines>47</Lines>
  <Paragraphs>13</Paragraphs>
  <TotalTime>1</TotalTime>
  <ScaleCrop>false</ScaleCrop>
  <LinksUpToDate>false</LinksUpToDate>
  <CharactersWithSpaces>6990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2023-09-07T08:02:00Z</dcterms:created>
  <dc:creator>Windows</dc:creator>
  <cp:lastModifiedBy> RONG</cp:lastModifiedBy>
  <dcterms:modified xsi:type="dcterms:W3CDTF">2026-11-04T07:27:43Z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eyJoZGlkIjoiMDQ0ZTdmOTFlZjc0OWU0NDhmMzA1YTM2NmI5MDg1MzIiLCJ1c2VySWQiOiI0MDk0NTEyMTIifQ==</vt:lpwstr>
  </property>
  <property fmtid="{D5CDD505-2E9C-101B-9397-08002B2CF9AE}" pid="4" name="ICV">
    <vt:lpwstr>85548FD89729486AA5566A0B8AE9F76C_13</vt:lpwstr>
  </property>
</Properties>
</file>