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65579">
      <w:pPr>
        <w:pStyle w:val="18"/>
        <w:jc w:val="center"/>
        <w:rPr>
          <w:rFonts w:hint="eastAsia"/>
          <w:b/>
          <w:sz w:val="44"/>
          <w:szCs w:val="44"/>
        </w:rPr>
      </w:pPr>
      <w:r>
        <w:rPr>
          <w:rFonts w:hint="eastAsia"/>
          <w:b/>
          <w:sz w:val="44"/>
          <w:szCs w:val="44"/>
        </w:rPr>
        <w:t xml:space="preserve"> 柳州职业技术大学</w:t>
      </w:r>
      <w:r>
        <w:rPr>
          <w:rFonts w:hint="eastAsia"/>
          <w:b/>
          <w:sz w:val="44"/>
          <w:szCs w:val="44"/>
          <w:lang w:val="en-US" w:eastAsia="zh-CN"/>
        </w:rPr>
        <w:t>2026年重阳节空调被采购</w:t>
      </w:r>
      <w:r>
        <w:rPr>
          <w:rFonts w:hint="eastAsia"/>
          <w:b/>
          <w:sz w:val="44"/>
          <w:szCs w:val="44"/>
        </w:rPr>
        <w:t>项目</w:t>
      </w:r>
    </w:p>
    <w:p w14:paraId="6D519ED4">
      <w:pPr>
        <w:pStyle w:val="18"/>
        <w:jc w:val="center"/>
        <w:rPr>
          <w:rFonts w:hint="eastAsia" w:eastAsiaTheme="minorEastAsia"/>
          <w:color w:val="FF0000"/>
          <w:sz w:val="22"/>
          <w:szCs w:val="44"/>
          <w:lang w:val="en-US" w:eastAsia="zh-CN"/>
        </w:rPr>
      </w:pPr>
      <w:r>
        <w:rPr>
          <w:rFonts w:hint="eastAsia"/>
          <w:b/>
          <w:sz w:val="44"/>
          <w:szCs w:val="44"/>
        </w:rPr>
        <w:t>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4"/>
          <w:szCs w:val="24"/>
        </w:rPr>
      </w:pPr>
      <w:r>
        <w:rPr>
          <w:rFonts w:hint="eastAsia" w:ascii="宋体" w:hAnsi="宋体" w:cs="宋体"/>
          <w:sz w:val="24"/>
          <w:szCs w:val="24"/>
        </w:rPr>
        <w:t>项目名称：</w:t>
      </w:r>
      <w:r>
        <w:rPr>
          <w:rFonts w:hint="eastAsia" w:ascii="宋体" w:hAnsi="宋体" w:cs="宋体"/>
          <w:b w:val="0"/>
          <w:bCs/>
          <w:sz w:val="24"/>
          <w:szCs w:val="24"/>
          <w:lang w:val="en-US" w:eastAsia="zh-CN"/>
        </w:rPr>
        <w:t>2026年重阳节空调被</w:t>
      </w:r>
      <w:r>
        <w:rPr>
          <w:rFonts w:hint="eastAsia" w:ascii="宋体" w:hAnsi="宋体" w:cs="宋体"/>
          <w:b w:val="0"/>
          <w:bCs/>
          <w:sz w:val="24"/>
          <w:szCs w:val="24"/>
        </w:rPr>
        <w:t>采购</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贰万叁仟肆佰陆拾元整</w:t>
      </w:r>
      <w:r>
        <w:rPr>
          <w:rFonts w:hint="eastAsia" w:ascii="宋体" w:hAnsi="宋体" w:cs="宋体"/>
          <w:sz w:val="24"/>
          <w:szCs w:val="24"/>
        </w:rPr>
        <w:t>（¥</w:t>
      </w:r>
      <w:r>
        <w:rPr>
          <w:rFonts w:hint="eastAsia" w:ascii="宋体" w:hAnsi="宋体" w:cs="宋体"/>
          <w:sz w:val="24"/>
          <w:szCs w:val="24"/>
          <w:lang w:val="en-US" w:eastAsia="zh-CN"/>
        </w:rPr>
        <w:t>23460.00</w:t>
      </w:r>
      <w:r>
        <w:rPr>
          <w:rFonts w:hint="eastAsia" w:ascii="宋体" w:hAnsi="宋体" w:cs="宋体"/>
          <w:sz w:val="24"/>
          <w:szCs w:val="24"/>
        </w:rPr>
        <w:t xml:space="preserve"> ）</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p w14:paraId="073454ED">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9477" w:type="dxa"/>
        <w:tblInd w:w="0" w:type="dxa"/>
        <w:tblLayout w:type="fixed"/>
        <w:tblCellMar>
          <w:top w:w="0" w:type="dxa"/>
          <w:left w:w="108" w:type="dxa"/>
          <w:bottom w:w="0" w:type="dxa"/>
          <w:right w:w="108" w:type="dxa"/>
        </w:tblCellMar>
      </w:tblPr>
      <w:tblGrid>
        <w:gridCol w:w="666"/>
        <w:gridCol w:w="737"/>
        <w:gridCol w:w="274"/>
        <w:gridCol w:w="6517"/>
        <w:gridCol w:w="616"/>
        <w:gridCol w:w="667"/>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1011" w:type="dxa"/>
            <w:gridSpan w:val="2"/>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517"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616"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667"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559BF8B7">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top"/>
          </w:tcPr>
          <w:p w14:paraId="27F990F7">
            <w:pPr>
              <w:keepNext w:val="0"/>
              <w:keepLines w:val="0"/>
              <w:widowControl/>
              <w:suppressLineNumbers w:val="0"/>
              <w:jc w:val="both"/>
              <w:textAlignment w:val="bottom"/>
              <w:rPr>
                <w:rFonts w:cs="宋体" w:asciiTheme="minorEastAsia" w:hAnsiTheme="minorEastAsia"/>
                <w:color w:val="auto"/>
                <w:kern w:val="0"/>
                <w:sz w:val="24"/>
                <w:szCs w:val="24"/>
              </w:rPr>
            </w:pPr>
            <w:r>
              <w:rPr>
                <w:rFonts w:hint="eastAsia" w:ascii="宋体" w:hAnsi="宋体" w:eastAsia="宋体" w:cs="宋体"/>
                <w:i w:val="0"/>
                <w:iCs w:val="0"/>
                <w:color w:val="auto"/>
                <w:kern w:val="0"/>
                <w:sz w:val="22"/>
                <w:szCs w:val="22"/>
                <w:u w:val="none"/>
                <w:lang w:val="en-US" w:eastAsia="zh-CN" w:bidi="ar"/>
              </w:rPr>
              <w:t>1</w:t>
            </w:r>
          </w:p>
        </w:tc>
        <w:tc>
          <w:tcPr>
            <w:tcW w:w="1011" w:type="dxa"/>
            <w:gridSpan w:val="2"/>
            <w:tcBorders>
              <w:top w:val="nil"/>
              <w:left w:val="nil"/>
              <w:bottom w:val="single" w:color="auto" w:sz="4" w:space="0"/>
              <w:right w:val="single" w:color="auto" w:sz="4" w:space="0"/>
            </w:tcBorders>
            <w:vAlign w:val="top"/>
          </w:tcPr>
          <w:p w14:paraId="3C3E4C8E">
            <w:pPr>
              <w:keepNext w:val="0"/>
              <w:keepLines w:val="0"/>
              <w:widowControl/>
              <w:suppressLineNumbers w:val="0"/>
              <w:jc w:val="both"/>
              <w:textAlignment w:val="bottom"/>
              <w:rPr>
                <w:rFonts w:cs="宋体" w:asciiTheme="minorEastAsia" w:hAnsiTheme="minorEastAsia"/>
                <w:color w:val="auto"/>
                <w:kern w:val="0"/>
                <w:sz w:val="24"/>
                <w:szCs w:val="24"/>
              </w:rPr>
            </w:pPr>
            <w:r>
              <w:rPr>
                <w:rFonts w:hint="eastAsia" w:ascii="宋体" w:hAnsi="宋体" w:cs="宋体"/>
                <w:b w:val="0"/>
                <w:bCs/>
                <w:sz w:val="24"/>
                <w:szCs w:val="24"/>
                <w:lang w:val="en-US" w:eastAsia="zh-CN"/>
              </w:rPr>
              <w:t>空调被</w:t>
            </w:r>
          </w:p>
        </w:tc>
        <w:tc>
          <w:tcPr>
            <w:tcW w:w="6517" w:type="dxa"/>
            <w:tcBorders>
              <w:top w:val="nil"/>
              <w:left w:val="nil"/>
              <w:bottom w:val="single" w:color="auto" w:sz="4" w:space="0"/>
              <w:right w:val="single" w:color="auto" w:sz="4" w:space="0"/>
            </w:tcBorders>
            <w:vAlign w:val="center"/>
          </w:tcPr>
          <w:p w14:paraId="28C8AAC2">
            <w:pPr>
              <w:rPr>
                <w:rFonts w:hint="eastAsia"/>
                <w:sz w:val="18"/>
                <w:szCs w:val="21"/>
                <w:lang w:val="en-US" w:eastAsia="zh-CN"/>
              </w:rPr>
            </w:pPr>
            <w:r>
              <w:rPr>
                <w:rFonts w:hint="eastAsia"/>
                <w:sz w:val="18"/>
                <w:szCs w:val="21"/>
                <w:lang w:val="en-US" w:eastAsia="zh-CN"/>
              </w:rPr>
              <w:t>空调被（礼盒装）</w:t>
            </w:r>
          </w:p>
          <w:p w14:paraId="4729FCE9">
            <w:pPr>
              <w:rPr>
                <w:rFonts w:hint="eastAsia"/>
                <w:sz w:val="18"/>
                <w:szCs w:val="21"/>
                <w:highlight w:val="none"/>
                <w:lang w:val="en-US" w:eastAsia="zh-CN"/>
              </w:rPr>
            </w:pPr>
            <w:r>
              <w:rPr>
                <w:rFonts w:hint="eastAsia"/>
                <w:sz w:val="18"/>
                <w:szCs w:val="21"/>
                <w:lang w:val="en-US" w:eastAsia="zh-CN"/>
              </w:rPr>
              <w:t>规格型号：</w:t>
            </w:r>
            <w:r>
              <w:rPr>
                <w:rFonts w:hint="eastAsia"/>
                <w:sz w:val="18"/>
                <w:szCs w:val="21"/>
                <w:highlight w:val="none"/>
                <w:lang w:val="en-US" w:eastAsia="zh-CN"/>
              </w:rPr>
              <w:t xml:space="preserve">（长x宽，mm）≥2000x1500 </w:t>
            </w:r>
          </w:p>
          <w:p w14:paraId="5F8B9B2E">
            <w:pPr>
              <w:rPr>
                <w:rFonts w:hint="default"/>
                <w:sz w:val="18"/>
                <w:szCs w:val="21"/>
                <w:highlight w:val="none"/>
                <w:lang w:val="en-US" w:eastAsia="zh-CN"/>
              </w:rPr>
            </w:pPr>
            <w:r>
              <w:rPr>
                <w:rFonts w:hint="eastAsia"/>
                <w:sz w:val="18"/>
                <w:szCs w:val="21"/>
                <w:highlight w:val="none"/>
                <w:lang w:val="en-US" w:eastAsia="zh-CN"/>
              </w:rPr>
              <w:t xml:space="preserve">礼盒尺寸：（长x宽x高，mm）：≥490x150x380 </w:t>
            </w:r>
          </w:p>
          <w:p w14:paraId="338F6F89">
            <w:pPr>
              <w:rPr>
                <w:rFonts w:hint="eastAsia"/>
                <w:sz w:val="18"/>
                <w:szCs w:val="21"/>
                <w:highlight w:val="none"/>
                <w:lang w:val="en-US" w:eastAsia="zh-CN"/>
              </w:rPr>
            </w:pPr>
            <w:r>
              <w:rPr>
                <w:rFonts w:hint="eastAsia"/>
                <w:sz w:val="18"/>
                <w:szCs w:val="21"/>
                <w:highlight w:val="none"/>
                <w:lang w:val="en-US" w:eastAsia="zh-CN"/>
              </w:rPr>
              <w:t>面料：100%聚酯纤维</w:t>
            </w:r>
          </w:p>
          <w:p w14:paraId="18DC6751">
            <w:pPr>
              <w:rPr>
                <w:rFonts w:hint="eastAsia"/>
                <w:sz w:val="18"/>
                <w:szCs w:val="21"/>
                <w:highlight w:val="none"/>
                <w:lang w:val="en-US" w:eastAsia="zh-CN"/>
              </w:rPr>
            </w:pPr>
            <w:r>
              <w:rPr>
                <w:rFonts w:hint="eastAsia"/>
                <w:sz w:val="18"/>
                <w:szCs w:val="21"/>
                <w:highlight w:val="none"/>
                <w:lang w:val="en-US" w:eastAsia="zh-CN"/>
              </w:rPr>
              <w:t>填充物：100%聚酯纤维</w:t>
            </w:r>
          </w:p>
          <w:p w14:paraId="061D074D">
            <w:pPr>
              <w:rPr>
                <w:rFonts w:hint="eastAsia"/>
                <w:sz w:val="18"/>
                <w:szCs w:val="21"/>
                <w:highlight w:val="none"/>
                <w:lang w:val="en-US" w:eastAsia="zh-CN"/>
              </w:rPr>
            </w:pPr>
            <w:r>
              <w:rPr>
                <w:rFonts w:hint="eastAsia"/>
                <w:sz w:val="18"/>
                <w:szCs w:val="21"/>
                <w:highlight w:val="none"/>
                <w:lang w:val="en-US" w:eastAsia="zh-CN"/>
              </w:rPr>
              <w:t>执行标准：（1）GB/T 22796-2021《床上用品》</w:t>
            </w:r>
          </w:p>
          <w:p w14:paraId="630A6E03">
            <w:pPr>
              <w:rPr>
                <w:rFonts w:hint="eastAsia"/>
                <w:sz w:val="18"/>
                <w:szCs w:val="21"/>
                <w:highlight w:val="none"/>
                <w:lang w:val="en-US" w:eastAsia="zh-CN"/>
              </w:rPr>
            </w:pPr>
            <w:r>
              <w:rPr>
                <w:rFonts w:hint="eastAsia"/>
                <w:sz w:val="18"/>
                <w:szCs w:val="21"/>
                <w:highlight w:val="none"/>
                <w:lang w:val="en-US" w:eastAsia="zh-CN"/>
              </w:rPr>
              <w:t>（2） GB/T 29862-2013《纺织品 纤维含量的标识》</w:t>
            </w:r>
          </w:p>
          <w:p w14:paraId="3E4B892C">
            <w:pPr>
              <w:rPr>
                <w:rFonts w:hint="default"/>
                <w:sz w:val="18"/>
                <w:szCs w:val="21"/>
                <w:highlight w:val="none"/>
                <w:lang w:val="en-US" w:eastAsia="zh-CN"/>
              </w:rPr>
            </w:pPr>
            <w:r>
              <w:rPr>
                <w:rFonts w:hint="eastAsia"/>
                <w:sz w:val="18"/>
                <w:szCs w:val="21"/>
                <w:highlight w:val="none"/>
                <w:lang w:val="en-US" w:eastAsia="zh-CN"/>
              </w:rPr>
              <w:t>安全类别：GB 18401-2010 B类</w:t>
            </w:r>
          </w:p>
          <w:p w14:paraId="17E0D779">
            <w:pPr>
              <w:rPr>
                <w:rFonts w:hint="eastAsia"/>
                <w:sz w:val="18"/>
                <w:szCs w:val="21"/>
                <w:highlight w:val="none"/>
                <w:lang w:val="en-US" w:eastAsia="zh-CN"/>
              </w:rPr>
            </w:pPr>
            <w:r>
              <w:rPr>
                <w:rFonts w:hint="eastAsia"/>
                <w:sz w:val="18"/>
                <w:szCs w:val="21"/>
                <w:highlight w:val="none"/>
                <w:lang w:val="en-US" w:eastAsia="zh-CN"/>
              </w:rPr>
              <w:t>质量等级：一等品</w:t>
            </w:r>
          </w:p>
          <w:p w14:paraId="7B6B98B6">
            <w:pPr>
              <w:rPr>
                <w:rFonts w:eastAsia="宋体" w:asciiTheme="minorEastAsia" w:hAnsiTheme="minorEastAsia"/>
                <w:color w:val="auto"/>
                <w:kern w:val="0"/>
                <w:sz w:val="24"/>
                <w:szCs w:val="24"/>
              </w:rPr>
            </w:pPr>
            <w:r>
              <w:rPr>
                <w:rFonts w:hint="eastAsia"/>
                <w:sz w:val="18"/>
                <w:szCs w:val="21"/>
                <w:highlight w:val="none"/>
                <w:lang w:val="en-US" w:eastAsia="zh-CN"/>
              </w:rPr>
              <w:t>包装完整，含产品合格证。</w:t>
            </w:r>
          </w:p>
        </w:tc>
        <w:tc>
          <w:tcPr>
            <w:tcW w:w="616" w:type="dxa"/>
            <w:tcBorders>
              <w:top w:val="nil"/>
              <w:left w:val="nil"/>
              <w:bottom w:val="single" w:color="auto" w:sz="4" w:space="0"/>
              <w:right w:val="single" w:color="auto" w:sz="4" w:space="0"/>
            </w:tcBorders>
            <w:shd w:val="clear" w:color="auto" w:fill="auto"/>
            <w:vAlign w:val="top"/>
          </w:tcPr>
          <w:p w14:paraId="22E82D5D">
            <w:pPr>
              <w:keepNext w:val="0"/>
              <w:keepLines w:val="0"/>
              <w:widowControl/>
              <w:suppressLineNumbers w:val="0"/>
              <w:jc w:val="both"/>
              <w:textAlignment w:val="bottom"/>
              <w:rPr>
                <w:rFonts w:hint="default" w:cs="宋体" w:asciiTheme="minorEastAsia" w:hAnsiTheme="minorEastAsia" w:eastAsiaTheme="minorEastAsia"/>
                <w:color w:val="auto"/>
                <w:kern w:val="0"/>
                <w:sz w:val="24"/>
                <w:szCs w:val="24"/>
                <w:lang w:val="en-US" w:eastAsia="zh-CN" w:bidi="ar-SA"/>
              </w:rPr>
            </w:pPr>
            <w:r>
              <w:rPr>
                <w:rFonts w:hint="eastAsia" w:cs="宋体" w:asciiTheme="minorEastAsia" w:hAnsiTheme="minorEastAsia"/>
                <w:color w:val="auto"/>
                <w:kern w:val="0"/>
                <w:sz w:val="24"/>
                <w:szCs w:val="24"/>
                <w:lang w:val="en-US" w:eastAsia="zh-CN" w:bidi="ar-SA"/>
              </w:rPr>
              <w:t>盒</w:t>
            </w:r>
          </w:p>
        </w:tc>
        <w:tc>
          <w:tcPr>
            <w:tcW w:w="667" w:type="dxa"/>
            <w:tcBorders>
              <w:top w:val="nil"/>
              <w:left w:val="single" w:color="auto" w:sz="4" w:space="0"/>
              <w:bottom w:val="single" w:color="auto" w:sz="4" w:space="0"/>
              <w:right w:val="single" w:color="auto" w:sz="4" w:space="0"/>
            </w:tcBorders>
            <w:vAlign w:val="top"/>
          </w:tcPr>
          <w:p w14:paraId="235B6AAD">
            <w:pPr>
              <w:keepNext w:val="0"/>
              <w:keepLines w:val="0"/>
              <w:widowControl/>
              <w:suppressLineNumbers w:val="0"/>
              <w:jc w:val="center"/>
              <w:textAlignment w:val="bottom"/>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kern w:val="0"/>
                <w:sz w:val="24"/>
                <w:szCs w:val="24"/>
                <w:lang w:val="en-US" w:eastAsia="zh-CN"/>
              </w:rPr>
              <w:t>391</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8074" w:type="dxa"/>
            <w:gridSpan w:val="4"/>
            <w:tcBorders>
              <w:top w:val="single" w:color="auto" w:sz="4" w:space="0"/>
              <w:left w:val="nil"/>
              <w:bottom w:val="single" w:color="auto" w:sz="4" w:space="0"/>
              <w:right w:val="single" w:color="auto" w:sz="4" w:space="0"/>
            </w:tcBorders>
            <w:vAlign w:val="center"/>
          </w:tcPr>
          <w:p w14:paraId="52CEBA40">
            <w:pPr>
              <w:spacing w:line="360" w:lineRule="auto"/>
              <w:jc w:val="left"/>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3个月</w:t>
            </w:r>
            <w:r>
              <w:rPr>
                <w:rFonts w:hint="eastAsia" w:asciiTheme="minorHAnsi" w:hAnsiTheme="minorHAnsi" w:eastAsiaTheme="minorEastAsia" w:cstheme="minorBidi"/>
                <w:color w:val="auto"/>
                <w:kern w:val="2"/>
                <w:sz w:val="21"/>
                <w:szCs w:val="22"/>
                <w:lang w:val="en-US" w:eastAsia="zh-CN" w:bidi="ar-SA"/>
              </w:rPr>
              <w:t>内验收合格并交付使用。</w:t>
            </w:r>
          </w:p>
          <w:p w14:paraId="1A9BCFB4">
            <w:pPr>
              <w:spacing w:line="360" w:lineRule="auto"/>
              <w:jc w:val="left"/>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年。</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0F5323DF">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w:t>
      </w:r>
      <w:bookmarkStart w:id="52" w:name="_GoBack"/>
      <w:bookmarkEnd w:id="52"/>
      <w:r>
        <w:rPr>
          <w:rFonts w:hint="eastAsia" w:asciiTheme="majorEastAsia" w:hAnsiTheme="majorEastAsia" w:eastAsiaTheme="majorEastAsia" w:cstheme="majorEastAsia"/>
          <w:color w:val="auto"/>
          <w:sz w:val="24"/>
          <w:szCs w:val="24"/>
          <w:highlight w:val="none"/>
        </w:rPr>
        <w:t>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4"/>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20</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val="en-US" w:eastAsia="zh-CN"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王老师</w:t>
      </w:r>
      <w:r>
        <w:rPr>
          <w:rFonts w:hint="eastAsia" w:asciiTheme="majorEastAsia" w:hAnsiTheme="majorEastAsia" w:eastAsiaTheme="majorEastAsia" w:cstheme="majorEastAsia"/>
          <w:bCs/>
          <w:kern w:val="0"/>
          <w:sz w:val="24"/>
          <w:szCs w:val="28"/>
          <w:lang w:bidi="en-US"/>
        </w:rPr>
        <w:t xml:space="preserve">   </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val="en-US" w:eastAsia="zh-CN" w:bidi="en-US"/>
        </w:rPr>
        <w:t>联系电话：18277211800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5D16025A">
      <w:pPr>
        <w:pStyle w:val="5"/>
        <w:jc w:val="center"/>
        <w:rPr>
          <w:b/>
          <w:sz w:val="44"/>
          <w:szCs w:val="36"/>
        </w:rPr>
      </w:pPr>
    </w:p>
    <w:p w14:paraId="23AC920F">
      <w:pPr>
        <w:pStyle w:val="5"/>
        <w:jc w:val="center"/>
        <w:rPr>
          <w:b/>
          <w:sz w:val="44"/>
          <w:szCs w:val="36"/>
        </w:rPr>
      </w:pPr>
    </w:p>
    <w:p w14:paraId="489C9B85">
      <w:pPr>
        <w:pStyle w:val="5"/>
        <w:jc w:val="center"/>
        <w:rPr>
          <w:b/>
          <w:sz w:val="44"/>
          <w:szCs w:val="36"/>
        </w:rPr>
      </w:pPr>
    </w:p>
    <w:p w14:paraId="71A26E93">
      <w:pPr>
        <w:pStyle w:val="5"/>
        <w:jc w:val="center"/>
        <w:rPr>
          <w:b/>
          <w:sz w:val="44"/>
          <w:szCs w:val="36"/>
        </w:rPr>
      </w:pPr>
    </w:p>
    <w:p w14:paraId="7FA8F5AF">
      <w:pPr>
        <w:pStyle w:val="5"/>
        <w:jc w:val="center"/>
        <w:rPr>
          <w:b/>
          <w:sz w:val="44"/>
          <w:szCs w:val="36"/>
        </w:rPr>
      </w:pPr>
    </w:p>
    <w:p w14:paraId="227977AF">
      <w:pPr>
        <w:pStyle w:val="5"/>
        <w:jc w:val="center"/>
        <w:rPr>
          <w:b/>
          <w:sz w:val="44"/>
          <w:szCs w:val="36"/>
        </w:rPr>
      </w:pPr>
    </w:p>
    <w:p w14:paraId="6E429AD7">
      <w:pPr>
        <w:pStyle w:val="5"/>
        <w:jc w:val="center"/>
        <w:rPr>
          <w:b/>
          <w:sz w:val="44"/>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7FBBC3F">
      <w:pPr>
        <w:pStyle w:val="5"/>
        <w:rPr>
          <w:sz w:val="24"/>
          <w:szCs w:val="24"/>
        </w:rPr>
      </w:pPr>
    </w:p>
    <w:p w14:paraId="0AA53577">
      <w:pPr>
        <w:pStyle w:val="5"/>
        <w:rPr>
          <w:sz w:val="24"/>
          <w:szCs w:val="24"/>
        </w:rPr>
      </w:pPr>
    </w:p>
    <w:p w14:paraId="52F4E7BB">
      <w:pPr>
        <w:pStyle w:val="5"/>
        <w:rPr>
          <w:sz w:val="24"/>
          <w:szCs w:val="24"/>
        </w:rPr>
      </w:pPr>
    </w:p>
    <w:p w14:paraId="2C206DBF">
      <w:pPr>
        <w:pStyle w:val="35"/>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555BAD77">
      <w:pPr>
        <w:pStyle w:val="5"/>
        <w:rPr>
          <w:sz w:val="24"/>
          <w:szCs w:val="24"/>
        </w:rPr>
      </w:pPr>
    </w:p>
    <w:p w14:paraId="50298D57">
      <w:pPr>
        <w:pStyle w:val="5"/>
        <w:rPr>
          <w:sz w:val="24"/>
          <w:szCs w:val="24"/>
        </w:rPr>
      </w:pPr>
    </w:p>
    <w:p w14:paraId="206EB449">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61FE5F38">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F5C69F4">
      <w:pPr>
        <w:spacing w:line="360" w:lineRule="auto"/>
        <w:ind w:firstLine="600" w:firstLineChars="200"/>
        <w:contextualSpacing/>
        <w:jc w:val="left"/>
        <w:rPr>
          <w:rFonts w:hint="eastAsia" w:ascii="仿宋" w:hAnsi="仿宋" w:eastAsia="仿宋" w:cs="Times New Roman"/>
          <w:b/>
          <w:sz w:val="36"/>
          <w:szCs w:val="21"/>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CC461F9">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41291252">
      <w:pPr>
        <w:pStyle w:val="5"/>
        <w:jc w:val="left"/>
      </w:pPr>
    </w:p>
    <w:p w14:paraId="1798EB0B">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0E09BE0A">
      <w:pPr>
        <w:jc w:val="center"/>
        <w:rPr>
          <w:rFonts w:hint="default"/>
          <w:b/>
          <w:sz w:val="36"/>
          <w:szCs w:val="36"/>
          <w:lang w:val="en-US" w:eastAsia="zh-CN"/>
        </w:rPr>
      </w:pPr>
      <w:r>
        <w:rPr>
          <w:rFonts w:hint="eastAsia" w:ascii="仿宋" w:hAnsi="仿宋" w:eastAsia="仿宋"/>
          <w:b/>
          <w:sz w:val="40"/>
          <w:szCs w:val="40"/>
          <w:lang w:val="en-US" w:eastAsia="zh-CN"/>
        </w:rPr>
        <w:t>商务、技术响应、偏离情况说明表格</w:t>
      </w:r>
    </w:p>
    <w:p w14:paraId="63397DC4">
      <w:pPr>
        <w:spacing w:before="156" w:beforeLines="50" w:after="156" w:afterLines="50" w:line="360" w:lineRule="exact"/>
        <w:rPr>
          <w:rFonts w:ascii="宋体" w:hAnsi="宋体"/>
          <w:sz w:val="28"/>
        </w:rPr>
      </w:pP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1349578"/>
            <w:bookmarkStart w:id="3" w:name="_Toc254970729"/>
            <w:bookmarkStart w:id="4" w:name="_Toc173211900"/>
            <w:bookmarkStart w:id="5" w:name="_Toc254970588"/>
            <w:bookmarkStart w:id="6" w:name="_Toc173066401"/>
            <w:bookmarkStart w:id="7" w:name="_Toc405905876"/>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254970591"/>
            <w:bookmarkStart w:id="10" w:name="_Toc173211903"/>
            <w:bookmarkStart w:id="11" w:name="_Toc173066404"/>
            <w:bookmarkStart w:id="12" w:name="_Toc171349581"/>
            <w:bookmarkStart w:id="13" w:name="_Toc405905879"/>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3066405"/>
            <w:bookmarkStart w:id="15" w:name="_Toc405905880"/>
            <w:bookmarkStart w:id="16" w:name="_Toc173211904"/>
            <w:bookmarkStart w:id="17" w:name="_Toc254970733"/>
            <w:bookmarkStart w:id="18" w:name="_Toc254970592"/>
            <w:bookmarkStart w:id="19" w:name="_Toc17134958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066406"/>
            <w:bookmarkStart w:id="23" w:name="_Toc173211905"/>
            <w:bookmarkStart w:id="24" w:name="_Toc171349584"/>
            <w:bookmarkStart w:id="25" w:name="_Toc405905882"/>
            <w:bookmarkStart w:id="26" w:name="_Toc254970593"/>
            <w:bookmarkStart w:id="27" w:name="_Toc25497073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1349585"/>
            <w:bookmarkStart w:id="29" w:name="_Toc173211906"/>
            <w:bookmarkStart w:id="30" w:name="_Toc173066407"/>
            <w:bookmarkStart w:id="31" w:name="_Toc405905883"/>
            <w:bookmarkStart w:id="32" w:name="_Toc254970594"/>
            <w:bookmarkStart w:id="33" w:name="_Toc25497073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211907"/>
            <w:bookmarkStart w:id="35" w:name="_Toc405905884"/>
            <w:bookmarkStart w:id="36" w:name="_Toc173066408"/>
            <w:bookmarkStart w:id="37" w:name="_Toc171349586"/>
            <w:bookmarkStart w:id="38" w:name="_Toc254970736"/>
            <w:bookmarkStart w:id="39" w:name="_Toc254970595"/>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C01D33"/>
    <w:rsid w:val="01F35931"/>
    <w:rsid w:val="037F2773"/>
    <w:rsid w:val="06846916"/>
    <w:rsid w:val="06C40151"/>
    <w:rsid w:val="0B3879F3"/>
    <w:rsid w:val="0C16644C"/>
    <w:rsid w:val="0C8A7403"/>
    <w:rsid w:val="0E063758"/>
    <w:rsid w:val="0E5576D5"/>
    <w:rsid w:val="0FB37347"/>
    <w:rsid w:val="120B7BE2"/>
    <w:rsid w:val="1302311F"/>
    <w:rsid w:val="132D27DF"/>
    <w:rsid w:val="138A4316"/>
    <w:rsid w:val="141A488D"/>
    <w:rsid w:val="147211D0"/>
    <w:rsid w:val="148759AD"/>
    <w:rsid w:val="148F0E92"/>
    <w:rsid w:val="149253FF"/>
    <w:rsid w:val="150E175A"/>
    <w:rsid w:val="17CC70FE"/>
    <w:rsid w:val="184743D9"/>
    <w:rsid w:val="187B4AB8"/>
    <w:rsid w:val="1DDA151B"/>
    <w:rsid w:val="1F5F475E"/>
    <w:rsid w:val="23DC4E4B"/>
    <w:rsid w:val="25C93DBB"/>
    <w:rsid w:val="27676DAE"/>
    <w:rsid w:val="27AA7668"/>
    <w:rsid w:val="28DF530A"/>
    <w:rsid w:val="292F766C"/>
    <w:rsid w:val="29341AF5"/>
    <w:rsid w:val="29790ABB"/>
    <w:rsid w:val="2D096B30"/>
    <w:rsid w:val="2F5C246D"/>
    <w:rsid w:val="32701F68"/>
    <w:rsid w:val="33B20B2C"/>
    <w:rsid w:val="34904C1F"/>
    <w:rsid w:val="35686C87"/>
    <w:rsid w:val="35975332"/>
    <w:rsid w:val="364A5795"/>
    <w:rsid w:val="36E21052"/>
    <w:rsid w:val="388127A4"/>
    <w:rsid w:val="3A4A0C98"/>
    <w:rsid w:val="3B82520A"/>
    <w:rsid w:val="3BE467E3"/>
    <w:rsid w:val="3E16093B"/>
    <w:rsid w:val="40014ABD"/>
    <w:rsid w:val="417479B3"/>
    <w:rsid w:val="42B81890"/>
    <w:rsid w:val="43383798"/>
    <w:rsid w:val="43946EA8"/>
    <w:rsid w:val="43E64B33"/>
    <w:rsid w:val="44B80AE3"/>
    <w:rsid w:val="45952BD1"/>
    <w:rsid w:val="46995568"/>
    <w:rsid w:val="47EC741F"/>
    <w:rsid w:val="48E11081"/>
    <w:rsid w:val="49B41204"/>
    <w:rsid w:val="4DDA478A"/>
    <w:rsid w:val="4E3C51A6"/>
    <w:rsid w:val="4EA57F5B"/>
    <w:rsid w:val="4F475660"/>
    <w:rsid w:val="4F632F0F"/>
    <w:rsid w:val="4F91042F"/>
    <w:rsid w:val="4FA77CEC"/>
    <w:rsid w:val="4FDD51EF"/>
    <w:rsid w:val="520B6B20"/>
    <w:rsid w:val="534B409A"/>
    <w:rsid w:val="54A6047C"/>
    <w:rsid w:val="555D099C"/>
    <w:rsid w:val="56BC619E"/>
    <w:rsid w:val="575F02D9"/>
    <w:rsid w:val="5922789C"/>
    <w:rsid w:val="59E47EEA"/>
    <w:rsid w:val="5A0C5980"/>
    <w:rsid w:val="5A4073D2"/>
    <w:rsid w:val="5D2748E5"/>
    <w:rsid w:val="5EEF528C"/>
    <w:rsid w:val="5FAC7A2F"/>
    <w:rsid w:val="613C578C"/>
    <w:rsid w:val="620773F6"/>
    <w:rsid w:val="621253EA"/>
    <w:rsid w:val="62B17A6B"/>
    <w:rsid w:val="62BA202E"/>
    <w:rsid w:val="635737F1"/>
    <w:rsid w:val="650218B4"/>
    <w:rsid w:val="6595274A"/>
    <w:rsid w:val="68243590"/>
    <w:rsid w:val="68D311F0"/>
    <w:rsid w:val="6A8B4998"/>
    <w:rsid w:val="6D921163"/>
    <w:rsid w:val="6DDB5091"/>
    <w:rsid w:val="6EB16BDF"/>
    <w:rsid w:val="6F16174A"/>
    <w:rsid w:val="6FB94E90"/>
    <w:rsid w:val="70FB14A4"/>
    <w:rsid w:val="74304FCC"/>
    <w:rsid w:val="75023CF6"/>
    <w:rsid w:val="77D61299"/>
    <w:rsid w:val="795D134B"/>
    <w:rsid w:val="7AD14C6A"/>
    <w:rsid w:val="7B721238"/>
    <w:rsid w:val="7C8E1557"/>
    <w:rsid w:val="7FE91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2"/>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9"/>
    <w:semiHidden/>
    <w:unhideWhenUsed/>
    <w:qFormat/>
    <w:uiPriority w:val="99"/>
    <w:pPr>
      <w:jc w:val="left"/>
    </w:pPr>
  </w:style>
  <w:style w:type="paragraph" w:styleId="5">
    <w:name w:val="Body Text"/>
    <w:basedOn w:val="1"/>
    <w:link w:val="31"/>
    <w:unhideWhenUsed/>
    <w:qFormat/>
    <w:uiPriority w:val="99"/>
    <w:pPr>
      <w:spacing w:after="120"/>
    </w:pPr>
  </w:style>
  <w:style w:type="paragraph" w:styleId="6">
    <w:name w:val="Plain Text"/>
    <w:basedOn w:val="1"/>
    <w:next w:val="7"/>
    <w:link w:val="22"/>
    <w:unhideWhenUsed/>
    <w:qFormat/>
    <w:uiPriority w:val="0"/>
    <w:rPr>
      <w:rFonts w:ascii="宋体" w:hAnsi="Courier New"/>
    </w:rPr>
  </w:style>
  <w:style w:type="paragraph" w:styleId="7">
    <w:name w:val="Date"/>
    <w:basedOn w:val="1"/>
    <w:next w:val="1"/>
    <w:link w:val="23"/>
    <w:semiHidden/>
    <w:unhideWhenUsed/>
    <w:qFormat/>
    <w:uiPriority w:val="99"/>
    <w:pPr>
      <w:ind w:left="100" w:leftChars="2500"/>
    </w:pPr>
  </w:style>
  <w:style w:type="paragraph" w:styleId="8">
    <w:name w:val="Balloon Text"/>
    <w:basedOn w:val="1"/>
    <w:link w:val="21"/>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30"/>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semiHidden/>
    <w:unhideWhenUsed/>
    <w:qFormat/>
    <w:uiPriority w:val="99"/>
    <w:rPr>
      <w:color w:val="0000FF"/>
      <w:u w:val="single"/>
    </w:rPr>
  </w:style>
  <w:style w:type="character" w:styleId="17">
    <w:name w:val="annotation reference"/>
    <w:basedOn w:val="14"/>
    <w:unhideWhenUsed/>
    <w:qFormat/>
    <w:uiPriority w:val="99"/>
    <w:rPr>
      <w:sz w:val="21"/>
      <w:szCs w:val="21"/>
    </w:rPr>
  </w:style>
  <w:style w:type="paragraph" w:styleId="1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
    <w:name w:val="页眉 Char"/>
    <w:basedOn w:val="14"/>
    <w:link w:val="10"/>
    <w:qFormat/>
    <w:uiPriority w:val="99"/>
    <w:rPr>
      <w:sz w:val="18"/>
      <w:szCs w:val="18"/>
    </w:rPr>
  </w:style>
  <w:style w:type="character" w:customStyle="1" w:styleId="20">
    <w:name w:val="页脚 Char"/>
    <w:basedOn w:val="14"/>
    <w:link w:val="9"/>
    <w:qFormat/>
    <w:uiPriority w:val="99"/>
    <w:rPr>
      <w:sz w:val="18"/>
      <w:szCs w:val="18"/>
    </w:rPr>
  </w:style>
  <w:style w:type="character" w:customStyle="1" w:styleId="21">
    <w:name w:val="批注框文本 Char"/>
    <w:basedOn w:val="14"/>
    <w:link w:val="8"/>
    <w:semiHidden/>
    <w:qFormat/>
    <w:uiPriority w:val="99"/>
    <w:rPr>
      <w:sz w:val="18"/>
      <w:szCs w:val="18"/>
    </w:rPr>
  </w:style>
  <w:style w:type="character" w:customStyle="1" w:styleId="22">
    <w:name w:val="纯文本 Char"/>
    <w:basedOn w:val="14"/>
    <w:link w:val="6"/>
    <w:qFormat/>
    <w:uiPriority w:val="0"/>
    <w:rPr>
      <w:rFonts w:ascii="宋体" w:hAnsi="Courier New"/>
      <w:kern w:val="2"/>
      <w:sz w:val="21"/>
      <w:szCs w:val="22"/>
    </w:rPr>
  </w:style>
  <w:style w:type="character" w:customStyle="1" w:styleId="23">
    <w:name w:val="日期 Char"/>
    <w:basedOn w:val="14"/>
    <w:link w:val="7"/>
    <w:semiHidden/>
    <w:qFormat/>
    <w:uiPriority w:val="99"/>
    <w:rPr>
      <w:kern w:val="2"/>
      <w:sz w:val="21"/>
      <w:szCs w:val="22"/>
    </w:rPr>
  </w:style>
  <w:style w:type="character" w:customStyle="1" w:styleId="24">
    <w:name w:val="font21"/>
    <w:basedOn w:val="14"/>
    <w:qFormat/>
    <w:uiPriority w:val="0"/>
    <w:rPr>
      <w:rFonts w:ascii="Calibri" w:hAnsi="Calibri" w:cs="Calibri"/>
      <w:color w:val="000000"/>
      <w:sz w:val="22"/>
      <w:szCs w:val="22"/>
      <w:u w:val="none"/>
    </w:rPr>
  </w:style>
  <w:style w:type="character" w:customStyle="1" w:styleId="25">
    <w:name w:val="font41"/>
    <w:basedOn w:val="14"/>
    <w:qFormat/>
    <w:uiPriority w:val="0"/>
    <w:rPr>
      <w:rFonts w:hint="eastAsia" w:ascii="宋体" w:hAnsi="宋体" w:eastAsia="宋体" w:cs="宋体"/>
      <w:color w:val="000000"/>
      <w:sz w:val="22"/>
      <w:szCs w:val="22"/>
      <w:u w:val="none"/>
    </w:rPr>
  </w:style>
  <w:style w:type="character" w:customStyle="1" w:styleId="26">
    <w:name w:val="font11"/>
    <w:basedOn w:val="14"/>
    <w:qFormat/>
    <w:uiPriority w:val="0"/>
    <w:rPr>
      <w:rFonts w:hint="default" w:ascii="Calibri" w:hAnsi="Calibri" w:cs="Calibri"/>
      <w:color w:val="000000"/>
      <w:sz w:val="22"/>
      <w:szCs w:val="22"/>
      <w:u w:val="none"/>
    </w:rPr>
  </w:style>
  <w:style w:type="character" w:customStyle="1" w:styleId="27">
    <w:name w:val="font01"/>
    <w:basedOn w:val="14"/>
    <w:qFormat/>
    <w:uiPriority w:val="0"/>
    <w:rPr>
      <w:rFonts w:hint="default" w:ascii="Calibri" w:hAnsi="Calibri" w:cs="Calibri"/>
      <w:color w:val="000000"/>
      <w:sz w:val="22"/>
      <w:szCs w:val="22"/>
      <w:u w:val="none"/>
    </w:rPr>
  </w:style>
  <w:style w:type="character" w:customStyle="1" w:styleId="28">
    <w:name w:val="font31"/>
    <w:basedOn w:val="14"/>
    <w:qFormat/>
    <w:uiPriority w:val="0"/>
    <w:rPr>
      <w:rFonts w:hint="eastAsia" w:ascii="宋体" w:hAnsi="宋体" w:eastAsia="宋体" w:cs="宋体"/>
      <w:color w:val="000000"/>
      <w:sz w:val="22"/>
      <w:szCs w:val="22"/>
      <w:u w:val="none"/>
    </w:rPr>
  </w:style>
  <w:style w:type="character" w:customStyle="1" w:styleId="29">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30">
    <w:name w:val="批注主题 Char"/>
    <w:basedOn w:val="29"/>
    <w:link w:val="11"/>
    <w:semiHidden/>
    <w:qFormat/>
    <w:uiPriority w:val="99"/>
    <w:rPr>
      <w:rFonts w:asciiTheme="minorHAnsi" w:hAnsiTheme="minorHAnsi" w:eastAsiaTheme="minorEastAsia" w:cstheme="minorBidi"/>
      <w:b/>
      <w:bCs/>
      <w:kern w:val="2"/>
      <w:sz w:val="21"/>
      <w:szCs w:val="22"/>
    </w:rPr>
  </w:style>
  <w:style w:type="character" w:customStyle="1" w:styleId="31">
    <w:name w:val="正文文本 Char"/>
    <w:basedOn w:val="14"/>
    <w:link w:val="5"/>
    <w:qFormat/>
    <w:uiPriority w:val="99"/>
    <w:rPr>
      <w:kern w:val="2"/>
      <w:sz w:val="21"/>
      <w:szCs w:val="22"/>
    </w:rPr>
  </w:style>
  <w:style w:type="character" w:customStyle="1" w:styleId="32">
    <w:name w:val="标题 3 Char"/>
    <w:basedOn w:val="14"/>
    <w:link w:val="2"/>
    <w:qFormat/>
    <w:uiPriority w:val="0"/>
    <w:rPr>
      <w:rFonts w:ascii="Times New Roman" w:hAnsi="Times New Roman" w:eastAsia="宋体" w:cs="Times New Roman"/>
      <w:b/>
      <w:bCs/>
      <w:kern w:val="2"/>
      <w:sz w:val="32"/>
      <w:szCs w:val="32"/>
    </w:rPr>
  </w:style>
  <w:style w:type="character" w:customStyle="1" w:styleId="33">
    <w:name w:val="纯文本 Char1"/>
    <w:qFormat/>
    <w:uiPriority w:val="0"/>
    <w:rPr>
      <w:rFonts w:ascii="宋体" w:hAnsi="Courier New"/>
      <w:szCs w:val="21"/>
    </w:rPr>
  </w:style>
  <w:style w:type="paragraph" w:customStyle="1" w:styleId="34">
    <w:name w:val="标题2"/>
    <w:basedOn w:val="1"/>
    <w:next w:val="1"/>
    <w:qFormat/>
    <w:uiPriority w:val="0"/>
    <w:pPr>
      <w:ind w:firstLine="0" w:firstLineChars="0"/>
      <w:outlineLvl w:val="1"/>
    </w:pPr>
    <w:rPr>
      <w:b/>
    </w:rPr>
  </w:style>
  <w:style w:type="paragraph" w:customStyle="1" w:styleId="35">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6545</Words>
  <Characters>6703</Characters>
  <Lines>36</Lines>
  <Paragraphs>10</Paragraphs>
  <TotalTime>8</TotalTime>
  <ScaleCrop>false</ScaleCrop>
  <LinksUpToDate>false</LinksUpToDate>
  <CharactersWithSpaces>8018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2026-10-15T08:21:11Z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AEE702499B4B48A38E770AE900CB26C3</vt:lpwstr>
  </property>
  <property fmtid="{D5CDD505-2E9C-101B-9397-08002B2CF9AE}" pid="4" name="KSOTemplateDocerSaveRecord">
    <vt:lpwstr>eyJoZGlkIjoiNzMzNGE1YTZiYTc3N2YxODAwMWEyNTY5NTJhNTQzMDIiLCJ1c2VySWQiOiI0MDk0NTEyMTIifQ==</vt:lpwstr>
  </property>
</Properties>
</file>