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1DFB2CAC">
      <w:pPr>
        <w:spacing w:line="520" w:lineRule="exact"/>
        <w:jc w:val="center"/>
        <w:rPr>
          <w:rFonts w:ascii="Arial" w:hAnsi="Arial" w:cs="Arial"/>
          <w:b/>
          <w:kern w:val="0"/>
          <w:sz w:val="28"/>
          <w:szCs w:val="32"/>
          <w:lang w:bidi="en-US"/>
        </w:rPr>
      </w:pPr>
      <w:r>
        <w:rPr>
          <w:rFonts w:ascii="Arial" w:hAnsi="Arial" w:cs="Arial"/>
          <w:b/>
          <w:kern w:val="0"/>
          <w:sz w:val="28"/>
          <w:szCs w:val="32"/>
          <w:lang w:bidi="en-US"/>
        </w:rPr>
        <w:t>柳州职业技术</w:t>
      </w:r>
      <w:r>
        <w:rPr>
          <w:rFonts w:hint="eastAsia" w:ascii="Arial" w:hAnsi="Arial" w:cs="Arial"/>
          <w:b/>
          <w:kern w:val="0"/>
          <w:sz w:val="28"/>
          <w:szCs w:val="32"/>
          <w:lang w:bidi="en-US"/>
        </w:rPr>
        <w:t>大学</w:t>
      </w:r>
    </w:p>
    <w:p w14:paraId="180E9075">
      <w:pPr>
        <w:spacing w:line="520" w:lineRule="exact"/>
        <w:jc w:val="center"/>
        <w:rPr>
          <w:rFonts w:ascii="Arial" w:hAnsi="Arial" w:cs="Arial"/>
          <w:b/>
          <w:sz w:val="28"/>
          <w:szCs w:val="32"/>
        </w:rPr>
      </w:pPr>
      <w:r>
        <w:rPr>
          <w:rFonts w:hint="eastAsia" w:ascii="Arial" w:hAnsi="Arial" w:cs="Arial"/>
          <w:b/>
          <w:sz w:val="28"/>
          <w:szCs w:val="32"/>
        </w:rPr>
        <w:t>2026年通识网络课程服务采购项目</w:t>
      </w:r>
      <w:r>
        <w:rPr>
          <w:rFonts w:ascii="Arial" w:hAnsi="Arial" w:cs="Arial"/>
          <w:b/>
          <w:sz w:val="28"/>
          <w:szCs w:val="32"/>
        </w:rPr>
        <w:t>询价采购公告</w:t>
      </w:r>
    </w:p>
    <w:p w14:paraId="7794142A">
      <w:pPr>
        <w:widowControl/>
        <w:spacing w:after="200" w:line="276" w:lineRule="auto"/>
        <w:ind w:firstLine="1104" w:firstLineChars="500"/>
        <w:jc w:val="left"/>
        <w:rPr>
          <w:rFonts w:ascii="Arial" w:hAnsi="Arial" w:cs="Arial"/>
          <w:b/>
          <w:bCs/>
          <w:kern w:val="0"/>
          <w:sz w:val="22"/>
          <w:szCs w:val="24"/>
          <w:lang w:bidi="en-US"/>
        </w:rPr>
      </w:pPr>
      <w:r>
        <w:rPr>
          <w:rFonts w:ascii="Arial" w:hAnsi="Arial" w:cs="Arial"/>
          <w:b/>
          <w:bCs/>
          <w:kern w:val="0"/>
          <w:sz w:val="22"/>
          <w:szCs w:val="24"/>
          <w:lang w:bidi="en-US"/>
        </w:rPr>
        <w:t>采购编号：LZ</w:t>
      </w:r>
      <w:r>
        <w:rPr>
          <w:rFonts w:hint="eastAsia" w:ascii="Arial" w:hAnsi="Arial" w:cs="Arial"/>
          <w:b/>
          <w:bCs/>
          <w:kern w:val="0"/>
          <w:sz w:val="22"/>
          <w:szCs w:val="24"/>
          <w:lang w:bidi="en-US"/>
        </w:rPr>
        <w:t xml:space="preserve">PU2026- </w:t>
      </w:r>
      <w:r>
        <w:rPr>
          <w:rFonts w:hint="eastAsia" w:ascii="Arial" w:hAnsi="Arial" w:cs="Arial"/>
          <w:b/>
          <w:bCs/>
          <w:kern w:val="0"/>
          <w:sz w:val="22"/>
          <w:szCs w:val="24"/>
          <w:lang w:val="en-US" w:eastAsia="zh-CN" w:bidi="en-US"/>
        </w:rPr>
        <w:t>34</w:t>
      </w:r>
      <w:r>
        <w:rPr>
          <w:rFonts w:hint="eastAsia" w:ascii="Arial" w:hAnsi="Arial" w:cs="Arial"/>
          <w:b/>
          <w:bCs/>
          <w:kern w:val="0"/>
          <w:sz w:val="22"/>
          <w:szCs w:val="24"/>
          <w:lang w:bidi="en-US"/>
        </w:rPr>
        <w:t xml:space="preserve">  </w:t>
      </w:r>
      <w:r>
        <w:rPr>
          <w:rFonts w:ascii="Arial" w:hAnsi="Arial" w:cs="Arial"/>
          <w:b/>
          <w:bCs/>
          <w:kern w:val="0"/>
          <w:sz w:val="22"/>
          <w:szCs w:val="24"/>
          <w:lang w:bidi="en-US"/>
        </w:rPr>
        <w:t xml:space="preserve">                     发布日期：</w:t>
      </w:r>
      <w:r>
        <w:rPr>
          <w:rFonts w:hint="eastAsia" w:ascii="Arial" w:hAnsi="Arial" w:cs="Arial"/>
          <w:b/>
          <w:bCs/>
          <w:kern w:val="0"/>
          <w:sz w:val="22"/>
          <w:szCs w:val="24"/>
          <w:lang w:bidi="en-US"/>
        </w:rPr>
        <w:t>2026年</w:t>
      </w:r>
      <w:r>
        <w:rPr>
          <w:rFonts w:hint="eastAsia" w:ascii="Arial" w:hAnsi="Arial" w:cs="Arial"/>
          <w:b/>
          <w:bCs/>
          <w:kern w:val="0"/>
          <w:sz w:val="22"/>
          <w:szCs w:val="24"/>
          <w:lang w:val="en-US" w:eastAsia="zh-CN" w:bidi="en-US"/>
        </w:rPr>
        <w:t>9</w:t>
      </w:r>
      <w:r>
        <w:rPr>
          <w:rFonts w:hint="eastAsia" w:ascii="Arial" w:hAnsi="Arial" w:cs="Arial"/>
          <w:b/>
          <w:bCs/>
          <w:kern w:val="0"/>
          <w:sz w:val="22"/>
          <w:szCs w:val="24"/>
          <w:lang w:bidi="en-US"/>
        </w:rPr>
        <w:t>月</w:t>
      </w:r>
      <w:r>
        <w:rPr>
          <w:rFonts w:hint="eastAsia" w:ascii="Arial" w:hAnsi="Arial" w:cs="Arial"/>
          <w:b/>
          <w:bCs/>
          <w:kern w:val="0"/>
          <w:sz w:val="22"/>
          <w:szCs w:val="24"/>
          <w:lang w:val="en-US" w:eastAsia="zh-CN" w:bidi="en-US"/>
        </w:rPr>
        <w:t>24</w:t>
      </w:r>
      <w:r>
        <w:rPr>
          <w:rFonts w:hint="eastAsia" w:ascii="Arial" w:hAnsi="Arial" w:cs="Arial"/>
          <w:b/>
          <w:bCs/>
          <w:kern w:val="0"/>
          <w:sz w:val="22"/>
          <w:szCs w:val="24"/>
          <w:lang w:bidi="en-US"/>
        </w:rPr>
        <w:t>日</w:t>
      </w:r>
    </w:p>
    <w:p w14:paraId="721DF1DA">
      <w:pPr>
        <w:numPr>
          <w:ilvl w:val="0"/>
          <w:numId w:val="1"/>
        </w:numPr>
        <w:spacing w:line="520" w:lineRule="exact"/>
        <w:rPr>
          <w:rFonts w:ascii="Arial" w:hAnsi="Arial" w:cs="Arial"/>
          <w:bCs/>
          <w:kern w:val="0"/>
          <w:sz w:val="24"/>
          <w:szCs w:val="28"/>
          <w:lang w:bidi="en-US"/>
        </w:rPr>
      </w:pPr>
      <w:r>
        <w:rPr>
          <w:rFonts w:ascii="Arial" w:hAnsi="Arial" w:cs="Arial"/>
          <w:bCs/>
          <w:kern w:val="0"/>
          <w:sz w:val="24"/>
          <w:szCs w:val="28"/>
          <w:lang w:bidi="en-US"/>
        </w:rPr>
        <w:t>项目名称：</w:t>
      </w:r>
      <w:r>
        <w:rPr>
          <w:rFonts w:hint="eastAsia" w:ascii="Arial" w:hAnsi="Arial" w:cs="Arial"/>
          <w:bCs/>
          <w:kern w:val="0"/>
          <w:sz w:val="24"/>
          <w:szCs w:val="28"/>
          <w:lang w:bidi="en-US"/>
        </w:rPr>
        <w:t>2026年通识网络课程服务采购</w:t>
      </w:r>
    </w:p>
    <w:p w14:paraId="2C37862B">
      <w:pPr>
        <w:numPr>
          <w:ilvl w:val="0"/>
          <w:numId w:val="1"/>
        </w:numPr>
        <w:spacing w:line="520" w:lineRule="exact"/>
        <w:rPr>
          <w:rFonts w:ascii="Arial" w:hAnsi="Arial" w:cs="Arial"/>
          <w:bCs/>
          <w:kern w:val="0"/>
          <w:sz w:val="24"/>
          <w:szCs w:val="28"/>
          <w:lang w:bidi="en-US"/>
        </w:rPr>
      </w:pPr>
      <w:r>
        <w:rPr>
          <w:rFonts w:ascii="Arial" w:hAnsi="Arial" w:cs="Arial"/>
          <w:bCs/>
          <w:kern w:val="0"/>
          <w:sz w:val="24"/>
          <w:szCs w:val="28"/>
          <w:lang w:bidi="en-US"/>
        </w:rPr>
        <w:t>询价采购项目预算金额：（人民币大写）</w:t>
      </w:r>
      <w:r>
        <w:rPr>
          <w:rFonts w:hint="eastAsia" w:ascii="Arial" w:hAnsi="Arial" w:cs="Arial"/>
          <w:bCs/>
          <w:kern w:val="0"/>
          <w:sz w:val="24"/>
          <w:szCs w:val="28"/>
          <w:lang w:bidi="en-US"/>
        </w:rPr>
        <w:t>玖万陆仟元整（¥96000.00）</w:t>
      </w:r>
    </w:p>
    <w:p w14:paraId="00384894">
      <w:pPr>
        <w:numPr>
          <w:ilvl w:val="0"/>
          <w:numId w:val="1"/>
        </w:numPr>
        <w:spacing w:line="520" w:lineRule="exact"/>
        <w:rPr>
          <w:rFonts w:hint="eastAsia" w:ascii="Arial" w:hAnsi="Arial" w:cs="Arial"/>
          <w:bCs/>
          <w:kern w:val="0"/>
          <w:sz w:val="24"/>
          <w:szCs w:val="28"/>
          <w:lang w:bidi="en-US"/>
        </w:rPr>
      </w:pPr>
      <w:r>
        <w:rPr>
          <w:rFonts w:hint="eastAsia" w:ascii="Arial" w:hAnsi="Arial" w:cs="Arial"/>
          <w:bCs/>
          <w:kern w:val="0"/>
          <w:sz w:val="24"/>
          <w:szCs w:val="28"/>
          <w:lang w:bidi="en-US"/>
        </w:rPr>
        <w:t>评标方法：综合评分法</w:t>
      </w:r>
    </w:p>
    <w:p w14:paraId="06259E98">
      <w:pPr>
        <w:numPr>
          <w:ilvl w:val="0"/>
          <w:numId w:val="1"/>
        </w:numPr>
        <w:rPr>
          <w:rFonts w:ascii="Arial" w:hAnsi="Arial" w:cs="Arial"/>
          <w:bCs/>
          <w:kern w:val="0"/>
          <w:sz w:val="24"/>
          <w:szCs w:val="28"/>
          <w:lang w:bidi="en-US"/>
        </w:rPr>
      </w:pPr>
      <w:r>
        <w:rPr>
          <w:rFonts w:ascii="Arial" w:hAnsi="Arial" w:cs="Arial"/>
          <w:bCs/>
          <w:kern w:val="0"/>
          <w:sz w:val="24"/>
          <w:szCs w:val="28"/>
          <w:lang w:bidi="en-US"/>
        </w:rPr>
        <w:t>采购</w:t>
      </w:r>
      <w:r>
        <w:rPr>
          <w:rFonts w:hint="eastAsia" w:ascii="Arial" w:hAnsi="Arial" w:cs="Arial"/>
          <w:bCs/>
          <w:kern w:val="0"/>
          <w:sz w:val="24"/>
          <w:szCs w:val="28"/>
          <w:lang w:bidi="en-US"/>
        </w:rPr>
        <w:t>要</w:t>
      </w:r>
      <w:r>
        <w:rPr>
          <w:rFonts w:ascii="Arial" w:hAnsi="Arial" w:cs="Arial"/>
          <w:bCs/>
          <w:kern w:val="0"/>
          <w:sz w:val="24"/>
          <w:szCs w:val="28"/>
          <w:lang w:bidi="en-US"/>
        </w:rPr>
        <w:t>求</w:t>
      </w:r>
    </w:p>
    <w:p w14:paraId="26F8BEC0">
      <w:pPr>
        <w:pStyle w:val="7"/>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8"/>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6"/>
        <w:gridCol w:w="763"/>
        <w:gridCol w:w="7847"/>
        <w:gridCol w:w="375"/>
        <w:gridCol w:w="465"/>
      </w:tblGrid>
      <w:tr w14:paraId="389B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16" w:type="dxa"/>
            <w:vAlign w:val="center"/>
          </w:tcPr>
          <w:p w14:paraId="57163EE4">
            <w:pPr>
              <w:widowControl/>
              <w:jc w:val="center"/>
              <w:rPr>
                <w:rFonts w:ascii="Arial" w:hAnsi="Arial" w:cs="Arial"/>
                <w:color w:val="000000"/>
                <w:kern w:val="0"/>
                <w:szCs w:val="21"/>
              </w:rPr>
            </w:pPr>
            <w:r>
              <w:rPr>
                <w:rFonts w:ascii="Arial" w:hAnsi="Arial" w:cs="Arial"/>
                <w:color w:val="000000"/>
                <w:kern w:val="0"/>
                <w:szCs w:val="21"/>
              </w:rPr>
              <w:t>序号</w:t>
            </w:r>
          </w:p>
        </w:tc>
        <w:tc>
          <w:tcPr>
            <w:tcW w:w="763" w:type="dxa"/>
            <w:shd w:val="clear" w:color="auto" w:fill="auto"/>
            <w:noWrap/>
            <w:vAlign w:val="center"/>
          </w:tcPr>
          <w:p w14:paraId="6AC9D901">
            <w:pPr>
              <w:widowControl/>
              <w:jc w:val="center"/>
              <w:rPr>
                <w:rFonts w:ascii="Arial" w:hAnsi="Arial" w:cs="Arial"/>
                <w:kern w:val="0"/>
                <w:szCs w:val="21"/>
              </w:rPr>
            </w:pPr>
            <w:r>
              <w:rPr>
                <w:rFonts w:ascii="Arial" w:hAnsi="Arial" w:cs="Arial"/>
                <w:kern w:val="0"/>
                <w:szCs w:val="21"/>
              </w:rPr>
              <w:t>名称</w:t>
            </w:r>
          </w:p>
        </w:tc>
        <w:tc>
          <w:tcPr>
            <w:tcW w:w="7847" w:type="dxa"/>
            <w:shd w:val="clear" w:color="auto" w:fill="auto"/>
            <w:noWrap/>
          </w:tcPr>
          <w:p w14:paraId="7D4F8037">
            <w:pPr>
              <w:widowControl/>
              <w:jc w:val="center"/>
              <w:rPr>
                <w:rFonts w:ascii="Arial" w:hAnsi="Arial" w:cs="Arial"/>
                <w:kern w:val="0"/>
                <w:szCs w:val="21"/>
              </w:rPr>
            </w:pPr>
            <w:r>
              <w:rPr>
                <w:rFonts w:hint="eastAsia" w:ascii="Arial" w:hAnsi="Arial" w:cs="Arial"/>
                <w:kern w:val="0"/>
                <w:szCs w:val="21"/>
              </w:rPr>
              <w:t>参数要求</w:t>
            </w:r>
          </w:p>
        </w:tc>
        <w:tc>
          <w:tcPr>
            <w:tcW w:w="375" w:type="dxa"/>
            <w:shd w:val="clear" w:color="auto" w:fill="auto"/>
            <w:noWrap/>
            <w:vAlign w:val="center"/>
          </w:tcPr>
          <w:p w14:paraId="701323AA">
            <w:pPr>
              <w:widowControl/>
              <w:jc w:val="center"/>
              <w:rPr>
                <w:rFonts w:ascii="Arial" w:hAnsi="Arial" w:cs="Arial"/>
                <w:color w:val="000000"/>
                <w:kern w:val="0"/>
                <w:szCs w:val="21"/>
              </w:rPr>
            </w:pPr>
            <w:r>
              <w:rPr>
                <w:rFonts w:hint="eastAsia" w:ascii="Arial" w:hAnsi="Arial" w:cs="Arial"/>
                <w:color w:val="000000"/>
                <w:kern w:val="0"/>
                <w:szCs w:val="21"/>
              </w:rPr>
              <w:t>数量</w:t>
            </w:r>
          </w:p>
        </w:tc>
        <w:tc>
          <w:tcPr>
            <w:tcW w:w="465" w:type="dxa"/>
            <w:shd w:val="clear" w:color="auto" w:fill="auto"/>
            <w:noWrap/>
            <w:vAlign w:val="center"/>
          </w:tcPr>
          <w:p w14:paraId="02431E57">
            <w:pPr>
              <w:widowControl/>
              <w:jc w:val="center"/>
              <w:rPr>
                <w:rFonts w:ascii="Arial" w:hAnsi="Arial" w:cs="Arial"/>
                <w:color w:val="000000"/>
                <w:kern w:val="0"/>
                <w:szCs w:val="21"/>
              </w:rPr>
            </w:pPr>
            <w:r>
              <w:rPr>
                <w:rFonts w:hint="eastAsia" w:ascii="Arial" w:hAnsi="Arial" w:cs="Arial"/>
                <w:color w:val="000000"/>
                <w:kern w:val="0"/>
                <w:szCs w:val="21"/>
              </w:rPr>
              <w:t>单位</w:t>
            </w:r>
          </w:p>
        </w:tc>
      </w:tr>
      <w:tr w14:paraId="4734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616" w:type="dxa"/>
          </w:tcPr>
          <w:p w14:paraId="710523F7">
            <w:pPr>
              <w:widowControl/>
              <w:rPr>
                <w:rFonts w:ascii="Arial" w:hAnsi="Arial" w:cs="Arial"/>
                <w:color w:val="000000"/>
                <w:kern w:val="0"/>
                <w:szCs w:val="21"/>
              </w:rPr>
            </w:pPr>
            <w:r>
              <w:rPr>
                <w:rFonts w:ascii="Arial" w:hAnsi="Arial" w:cs="Arial"/>
                <w:color w:val="000000"/>
                <w:kern w:val="0"/>
                <w:szCs w:val="21"/>
              </w:rPr>
              <w:t>1</w:t>
            </w:r>
          </w:p>
        </w:tc>
        <w:tc>
          <w:tcPr>
            <w:tcW w:w="763" w:type="dxa"/>
            <w:shd w:val="clear" w:color="auto" w:fill="auto"/>
            <w:noWrap/>
          </w:tcPr>
          <w:p w14:paraId="5F9DD4A4">
            <w:pPr>
              <w:spacing w:before="62" w:line="220" w:lineRule="auto"/>
              <w:ind w:left="24"/>
              <w:rPr>
                <w:rFonts w:ascii="宋体" w:hAnsi="宋体" w:eastAsia="宋体" w:cs="宋体"/>
                <w:kern w:val="0"/>
                <w:szCs w:val="21"/>
              </w:rPr>
            </w:pPr>
            <w:r>
              <w:rPr>
                <w:rFonts w:hint="eastAsia" w:ascii="宋体" w:hAnsi="宋体" w:eastAsia="宋体" w:cs="宋体"/>
                <w:spacing w:val="1"/>
                <w:szCs w:val="21"/>
              </w:rPr>
              <w:t>《中华民</w:t>
            </w:r>
            <w:r>
              <w:rPr>
                <w:rFonts w:hint="eastAsia" w:ascii="宋体" w:hAnsi="宋体" w:eastAsia="宋体" w:cs="宋体"/>
                <w:spacing w:val="-2"/>
                <w:szCs w:val="21"/>
              </w:rPr>
              <w:t>族共同体概论》课</w:t>
            </w:r>
            <w:r>
              <w:rPr>
                <w:rFonts w:hint="eastAsia" w:ascii="宋体" w:hAnsi="宋体" w:eastAsia="宋体" w:cs="宋体"/>
                <w:spacing w:val="4"/>
                <w:szCs w:val="21"/>
              </w:rPr>
              <w:t>程资源制</w:t>
            </w:r>
            <w:r>
              <w:rPr>
                <w:rFonts w:hint="eastAsia" w:ascii="宋体" w:hAnsi="宋体" w:eastAsia="宋体" w:cs="宋体"/>
                <w:szCs w:val="21"/>
              </w:rPr>
              <w:t>作</w:t>
            </w:r>
          </w:p>
        </w:tc>
        <w:tc>
          <w:tcPr>
            <w:tcW w:w="7847" w:type="dxa"/>
            <w:shd w:val="clear" w:color="auto" w:fill="auto"/>
            <w:noWrap/>
          </w:tcPr>
          <w:p w14:paraId="424CE658">
            <w:pPr>
              <w:pStyle w:val="25"/>
              <w:numPr>
                <w:ilvl w:val="0"/>
                <w:numId w:val="2"/>
              </w:numPr>
              <w:spacing w:before="94" w:line="220" w:lineRule="auto"/>
              <w:ind w:firstLineChars="0"/>
              <w:rPr>
                <w:rFonts w:hint="eastAsia" w:ascii="宋体" w:hAnsi="宋体" w:cs="宋体"/>
                <w:spacing w:val="-3"/>
                <w:szCs w:val="21"/>
              </w:rPr>
            </w:pPr>
            <w:r>
              <w:rPr>
                <w:rFonts w:hint="eastAsia" w:ascii="宋体" w:hAnsi="宋体" w:cs="宋体"/>
                <w:spacing w:val="-3"/>
                <w:szCs w:val="21"/>
              </w:rPr>
              <w:t>课程资源</w:t>
            </w:r>
          </w:p>
          <w:p w14:paraId="4C6CCE35">
            <w:pPr>
              <w:pStyle w:val="25"/>
              <w:spacing w:before="94" w:line="220" w:lineRule="auto"/>
              <w:ind w:left="3" w:firstLine="0" w:firstLineChars="0"/>
              <w:rPr>
                <w:rFonts w:hint="eastAsia" w:ascii="宋体" w:hAnsi="宋体" w:cs="宋体"/>
                <w:spacing w:val="-3"/>
                <w:szCs w:val="21"/>
              </w:rPr>
            </w:pPr>
            <w:r>
              <w:rPr>
                <w:rFonts w:hint="eastAsia" w:ascii="宋体" w:hAnsi="宋体" w:cs="宋体"/>
                <w:spacing w:val="-3"/>
                <w:szCs w:val="21"/>
              </w:rPr>
              <w:t>1.课程清单</w:t>
            </w:r>
          </w:p>
          <w:tbl>
            <w:tblPr>
              <w:tblStyle w:val="18"/>
              <w:tblW w:w="5914"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3923"/>
              <w:gridCol w:w="1227"/>
            </w:tblGrid>
            <w:tr w14:paraId="3B6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01A80A8A">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序号</w:t>
                  </w:r>
                </w:p>
              </w:tc>
              <w:tc>
                <w:tcPr>
                  <w:tcW w:w="3923" w:type="dxa"/>
                  <w:shd w:val="clear" w:color="auto" w:fill="auto"/>
                  <w:noWrap/>
                  <w:vAlign w:val="center"/>
                </w:tcPr>
                <w:p w14:paraId="26A906D5">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课程名称</w:t>
                  </w:r>
                </w:p>
              </w:tc>
              <w:tc>
                <w:tcPr>
                  <w:tcW w:w="1227" w:type="dxa"/>
                  <w:shd w:val="clear" w:color="auto" w:fill="auto"/>
                  <w:noWrap/>
                  <w:vAlign w:val="center"/>
                </w:tcPr>
                <w:p w14:paraId="3D77E3C9">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开课层次</w:t>
                  </w:r>
                </w:p>
              </w:tc>
            </w:tr>
            <w:tr w14:paraId="59994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7B6AE279">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w:t>
                  </w:r>
                </w:p>
              </w:tc>
              <w:tc>
                <w:tcPr>
                  <w:tcW w:w="3923" w:type="dxa"/>
                  <w:shd w:val="clear" w:color="auto" w:fill="auto"/>
                  <w:noWrap/>
                  <w:vAlign w:val="center"/>
                </w:tcPr>
                <w:p w14:paraId="4E7F4034">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经济基础与应用</w:t>
                  </w:r>
                </w:p>
              </w:tc>
              <w:tc>
                <w:tcPr>
                  <w:tcW w:w="1227" w:type="dxa"/>
                  <w:shd w:val="clear" w:color="auto" w:fill="auto"/>
                  <w:noWrap/>
                  <w:vAlign w:val="center"/>
                </w:tcPr>
                <w:p w14:paraId="02CEFBA9">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21A5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67D3C53E">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w:t>
                  </w:r>
                </w:p>
              </w:tc>
              <w:tc>
                <w:tcPr>
                  <w:tcW w:w="3923" w:type="dxa"/>
                  <w:shd w:val="clear" w:color="auto" w:fill="auto"/>
                  <w:noWrap/>
                  <w:vAlign w:val="center"/>
                </w:tcPr>
                <w:p w14:paraId="4242C04D">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经济决策思维与原理</w:t>
                  </w:r>
                </w:p>
              </w:tc>
              <w:tc>
                <w:tcPr>
                  <w:tcW w:w="1227" w:type="dxa"/>
                  <w:shd w:val="clear" w:color="auto" w:fill="auto"/>
                  <w:noWrap/>
                  <w:vAlign w:val="center"/>
                </w:tcPr>
                <w:p w14:paraId="15D82F94">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5EDB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764" w:type="dxa"/>
                  <w:shd w:val="clear" w:color="auto" w:fill="auto"/>
                  <w:noWrap/>
                  <w:vAlign w:val="center"/>
                </w:tcPr>
                <w:p w14:paraId="78582C04">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w:t>
                  </w:r>
                </w:p>
              </w:tc>
              <w:tc>
                <w:tcPr>
                  <w:tcW w:w="3923" w:type="dxa"/>
                  <w:shd w:val="clear" w:color="auto" w:fill="auto"/>
                  <w:noWrap/>
                  <w:vAlign w:val="center"/>
                </w:tcPr>
                <w:p w14:paraId="699D9E7F">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管理素质与能力的五项修炼——跟我学“管理学”</w:t>
                  </w:r>
                </w:p>
              </w:tc>
              <w:tc>
                <w:tcPr>
                  <w:tcW w:w="1227" w:type="dxa"/>
                  <w:shd w:val="clear" w:color="auto" w:fill="auto"/>
                  <w:noWrap/>
                  <w:vAlign w:val="center"/>
                </w:tcPr>
                <w:p w14:paraId="5ED65084">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2A0D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3017C9B3">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4</w:t>
                  </w:r>
                </w:p>
              </w:tc>
              <w:tc>
                <w:tcPr>
                  <w:tcW w:w="3923" w:type="dxa"/>
                  <w:shd w:val="clear" w:color="auto" w:fill="auto"/>
                  <w:noWrap/>
                  <w:vAlign w:val="center"/>
                </w:tcPr>
                <w:p w14:paraId="1BA1AA9A">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个人理财规划</w:t>
                  </w:r>
                </w:p>
              </w:tc>
              <w:tc>
                <w:tcPr>
                  <w:tcW w:w="1227" w:type="dxa"/>
                  <w:shd w:val="clear" w:color="auto" w:fill="auto"/>
                  <w:noWrap/>
                  <w:vAlign w:val="center"/>
                </w:tcPr>
                <w:p w14:paraId="241A8FDE">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6CA0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755AC144">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5</w:t>
                  </w:r>
                </w:p>
              </w:tc>
              <w:tc>
                <w:tcPr>
                  <w:tcW w:w="3923" w:type="dxa"/>
                  <w:shd w:val="clear" w:color="auto" w:fill="auto"/>
                  <w:noWrap/>
                  <w:vAlign w:val="center"/>
                </w:tcPr>
                <w:p w14:paraId="35B53C26">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内部控制与风险管理</w:t>
                  </w:r>
                </w:p>
              </w:tc>
              <w:tc>
                <w:tcPr>
                  <w:tcW w:w="1227" w:type="dxa"/>
                  <w:shd w:val="clear" w:color="auto" w:fill="auto"/>
                  <w:noWrap/>
                  <w:vAlign w:val="center"/>
                </w:tcPr>
                <w:p w14:paraId="04D14DC2">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203C0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6CB394DB">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6</w:t>
                  </w:r>
                </w:p>
              </w:tc>
              <w:tc>
                <w:tcPr>
                  <w:tcW w:w="3923" w:type="dxa"/>
                  <w:shd w:val="clear" w:color="auto" w:fill="auto"/>
                  <w:noWrap/>
                  <w:vAlign w:val="center"/>
                </w:tcPr>
                <w:p w14:paraId="40627F22">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5G与人工智能</w:t>
                  </w:r>
                </w:p>
              </w:tc>
              <w:tc>
                <w:tcPr>
                  <w:tcW w:w="1227" w:type="dxa"/>
                  <w:shd w:val="clear" w:color="auto" w:fill="auto"/>
                  <w:noWrap/>
                  <w:vAlign w:val="center"/>
                </w:tcPr>
                <w:p w14:paraId="1DB412A5">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575C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3B134D11">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7</w:t>
                  </w:r>
                </w:p>
              </w:tc>
              <w:tc>
                <w:tcPr>
                  <w:tcW w:w="3923" w:type="dxa"/>
                  <w:shd w:val="clear" w:color="auto" w:fill="auto"/>
                  <w:noWrap/>
                  <w:vAlign w:val="center"/>
                </w:tcPr>
                <w:p w14:paraId="6E8046A9">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人人都能上手的AI工具</w:t>
                  </w:r>
                </w:p>
              </w:tc>
              <w:tc>
                <w:tcPr>
                  <w:tcW w:w="1227" w:type="dxa"/>
                  <w:shd w:val="clear" w:color="auto" w:fill="auto"/>
                  <w:noWrap/>
                  <w:vAlign w:val="center"/>
                </w:tcPr>
                <w:p w14:paraId="4A23B828">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15EC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195744A7">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8</w:t>
                  </w:r>
                </w:p>
              </w:tc>
              <w:tc>
                <w:tcPr>
                  <w:tcW w:w="3923" w:type="dxa"/>
                  <w:shd w:val="clear" w:color="auto" w:fill="auto"/>
                  <w:noWrap/>
                  <w:vAlign w:val="center"/>
                </w:tcPr>
                <w:p w14:paraId="43F17BEE">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生成式人工智能原理及其影响和应用</w:t>
                  </w:r>
                </w:p>
              </w:tc>
              <w:tc>
                <w:tcPr>
                  <w:tcW w:w="1227" w:type="dxa"/>
                  <w:shd w:val="clear" w:color="auto" w:fill="auto"/>
                  <w:noWrap/>
                  <w:vAlign w:val="center"/>
                </w:tcPr>
                <w:p w14:paraId="222C3B52">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2407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2B49EFA2">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9</w:t>
                  </w:r>
                </w:p>
              </w:tc>
              <w:tc>
                <w:tcPr>
                  <w:tcW w:w="3923" w:type="dxa"/>
                  <w:shd w:val="clear" w:color="auto" w:fill="auto"/>
                  <w:noWrap/>
                  <w:vAlign w:val="center"/>
                </w:tcPr>
                <w:p w14:paraId="4E7AE9CD">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数据时代的推断陷阱</w:t>
                  </w:r>
                </w:p>
              </w:tc>
              <w:tc>
                <w:tcPr>
                  <w:tcW w:w="1227" w:type="dxa"/>
                  <w:shd w:val="clear" w:color="auto" w:fill="auto"/>
                  <w:noWrap/>
                  <w:vAlign w:val="center"/>
                </w:tcPr>
                <w:p w14:paraId="5C68300B">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6C16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607FEB4A">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10</w:t>
                  </w:r>
                </w:p>
              </w:tc>
              <w:tc>
                <w:tcPr>
                  <w:tcW w:w="3923" w:type="dxa"/>
                  <w:shd w:val="clear" w:color="auto" w:fill="auto"/>
                  <w:noWrap/>
                  <w:vAlign w:val="center"/>
                </w:tcPr>
                <w:p w14:paraId="26726C7F">
                  <w:pPr>
                    <w:widowControl/>
                    <w:jc w:val="center"/>
                    <w:textAlignment w:val="center"/>
                    <w:rPr>
                      <w:rFonts w:ascii="宋体" w:hAnsi="宋体" w:cs="宋体"/>
                      <w:color w:val="000000"/>
                      <w:sz w:val="24"/>
                      <w:szCs w:val="24"/>
                    </w:rPr>
                  </w:pPr>
                  <w:r>
                    <w:rPr>
                      <w:rStyle w:val="43"/>
                      <w:rFonts w:hint="default"/>
                      <w:szCs w:val="21"/>
                      <w:lang w:bidi="ar"/>
                    </w:rPr>
                    <w:t>玩转AIGC：AI工具实战课</w:t>
                  </w:r>
                  <w:r>
                    <w:rPr>
                      <w:rStyle w:val="43"/>
                      <w:rFonts w:hint="default"/>
                      <w:szCs w:val="21"/>
                      <w:lang w:bidi="ar"/>
                    </w:rPr>
                    <w:br w:type="textWrapping"/>
                  </w:r>
                  <w:r>
                    <w:rPr>
                      <w:rStyle w:val="43"/>
                      <w:rFonts w:hint="default"/>
                      <w:szCs w:val="21"/>
                      <w:lang w:bidi="ar"/>
                    </w:rPr>
                    <w:t>（原“AIGC基础与应用”升级版）</w:t>
                  </w:r>
                </w:p>
              </w:tc>
              <w:tc>
                <w:tcPr>
                  <w:tcW w:w="1227" w:type="dxa"/>
                  <w:shd w:val="clear" w:color="auto" w:fill="auto"/>
                  <w:noWrap/>
                  <w:vAlign w:val="center"/>
                </w:tcPr>
                <w:p w14:paraId="0EB90C39">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4400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38A4A014">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11</w:t>
                  </w:r>
                </w:p>
              </w:tc>
              <w:tc>
                <w:tcPr>
                  <w:tcW w:w="3923" w:type="dxa"/>
                  <w:shd w:val="clear" w:color="auto" w:fill="auto"/>
                  <w:noWrap/>
                  <w:vAlign w:val="center"/>
                </w:tcPr>
                <w:p w14:paraId="1E9DE16E">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海上丝绸之路</w:t>
                  </w:r>
                </w:p>
              </w:tc>
              <w:tc>
                <w:tcPr>
                  <w:tcW w:w="1227" w:type="dxa"/>
                  <w:shd w:val="clear" w:color="auto" w:fill="auto"/>
                  <w:noWrap/>
                  <w:vAlign w:val="center"/>
                </w:tcPr>
                <w:p w14:paraId="29DDFB59">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0510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5CEE310D">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12</w:t>
                  </w:r>
                </w:p>
              </w:tc>
              <w:tc>
                <w:tcPr>
                  <w:tcW w:w="3923" w:type="dxa"/>
                  <w:shd w:val="clear" w:color="auto" w:fill="auto"/>
                  <w:noWrap/>
                  <w:vAlign w:val="center"/>
                </w:tcPr>
                <w:p w14:paraId="38DCB224">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跨文化交际</w:t>
                  </w:r>
                </w:p>
              </w:tc>
              <w:tc>
                <w:tcPr>
                  <w:tcW w:w="1227" w:type="dxa"/>
                  <w:shd w:val="clear" w:color="auto" w:fill="auto"/>
                  <w:noWrap/>
                  <w:vAlign w:val="center"/>
                </w:tcPr>
                <w:p w14:paraId="05AAD092">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3089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55EB7DEB">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13</w:t>
                  </w:r>
                </w:p>
              </w:tc>
              <w:tc>
                <w:tcPr>
                  <w:tcW w:w="3923" w:type="dxa"/>
                  <w:shd w:val="clear" w:color="auto" w:fill="auto"/>
                  <w:noWrap/>
                  <w:vAlign w:val="center"/>
                </w:tcPr>
                <w:p w14:paraId="464A8E4A">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欧洲文明的现代历程</w:t>
                  </w:r>
                </w:p>
              </w:tc>
              <w:tc>
                <w:tcPr>
                  <w:tcW w:w="1227" w:type="dxa"/>
                  <w:shd w:val="clear" w:color="auto" w:fill="auto"/>
                  <w:noWrap/>
                  <w:vAlign w:val="center"/>
                </w:tcPr>
                <w:p w14:paraId="354198A1">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6C2C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1B81C500">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14</w:t>
                  </w:r>
                </w:p>
              </w:tc>
              <w:tc>
                <w:tcPr>
                  <w:tcW w:w="3923" w:type="dxa"/>
                  <w:shd w:val="clear" w:color="auto" w:fill="auto"/>
                  <w:noWrap/>
                  <w:vAlign w:val="center"/>
                </w:tcPr>
                <w:p w14:paraId="5C6F45AC">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食品营养与健康</w:t>
                  </w:r>
                </w:p>
              </w:tc>
              <w:tc>
                <w:tcPr>
                  <w:tcW w:w="1227" w:type="dxa"/>
                  <w:shd w:val="clear" w:color="auto" w:fill="auto"/>
                  <w:noWrap/>
                  <w:vAlign w:val="center"/>
                </w:tcPr>
                <w:p w14:paraId="33D0CBED">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1704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6F2BE53A">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15</w:t>
                  </w:r>
                </w:p>
              </w:tc>
              <w:tc>
                <w:tcPr>
                  <w:tcW w:w="3923" w:type="dxa"/>
                  <w:shd w:val="clear" w:color="auto" w:fill="auto"/>
                  <w:noWrap/>
                  <w:vAlign w:val="center"/>
                </w:tcPr>
                <w:p w14:paraId="0205C235">
                  <w:pPr>
                    <w:widowControl/>
                    <w:jc w:val="center"/>
                    <w:textAlignment w:val="center"/>
                    <w:rPr>
                      <w:rFonts w:ascii="Arial" w:hAnsi="Arial" w:cs="Arial"/>
                      <w:color w:val="000000"/>
                      <w:sz w:val="24"/>
                      <w:szCs w:val="24"/>
                    </w:rPr>
                  </w:pPr>
                  <w:r>
                    <w:rPr>
                      <w:rFonts w:hint="eastAsia" w:ascii="宋体" w:hAnsi="宋体" w:eastAsia="宋体" w:cs="宋体"/>
                      <w:color w:val="000000"/>
                      <w:kern w:val="0"/>
                      <w:szCs w:val="21"/>
                      <w:lang w:bidi="ar"/>
                    </w:rPr>
                    <w:t>垃圾分类</w:t>
                  </w:r>
                </w:p>
              </w:tc>
              <w:tc>
                <w:tcPr>
                  <w:tcW w:w="1227" w:type="dxa"/>
                  <w:shd w:val="clear" w:color="auto" w:fill="auto"/>
                  <w:noWrap/>
                  <w:vAlign w:val="center"/>
                </w:tcPr>
                <w:p w14:paraId="31F82087">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72D6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2B73C114">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16</w:t>
                  </w:r>
                </w:p>
              </w:tc>
              <w:tc>
                <w:tcPr>
                  <w:tcW w:w="3923" w:type="dxa"/>
                  <w:shd w:val="clear" w:color="auto" w:fill="auto"/>
                  <w:noWrap/>
                  <w:vAlign w:val="center"/>
                </w:tcPr>
                <w:p w14:paraId="12C2EA6B">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生态文明与绿色发展</w:t>
                  </w:r>
                </w:p>
              </w:tc>
              <w:tc>
                <w:tcPr>
                  <w:tcW w:w="1227" w:type="dxa"/>
                  <w:shd w:val="clear" w:color="auto" w:fill="auto"/>
                  <w:noWrap/>
                  <w:vAlign w:val="center"/>
                </w:tcPr>
                <w:p w14:paraId="5AA7CFA7">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4834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1E014280">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17</w:t>
                  </w:r>
                </w:p>
              </w:tc>
              <w:tc>
                <w:tcPr>
                  <w:tcW w:w="3923" w:type="dxa"/>
                  <w:shd w:val="clear" w:color="auto" w:fill="auto"/>
                  <w:noWrap/>
                  <w:vAlign w:val="center"/>
                </w:tcPr>
                <w:p w14:paraId="3160DA2E">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人工智能通识基础（大模型篇）</w:t>
                  </w:r>
                </w:p>
              </w:tc>
              <w:tc>
                <w:tcPr>
                  <w:tcW w:w="1227" w:type="dxa"/>
                  <w:shd w:val="clear" w:color="auto" w:fill="auto"/>
                  <w:noWrap/>
                  <w:vAlign w:val="center"/>
                </w:tcPr>
                <w:p w14:paraId="6B9EDA98">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2B3F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30D352B1">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18</w:t>
                  </w:r>
                </w:p>
              </w:tc>
              <w:tc>
                <w:tcPr>
                  <w:tcW w:w="3923" w:type="dxa"/>
                  <w:shd w:val="clear" w:color="auto" w:fill="auto"/>
                  <w:noWrap/>
                  <w:vAlign w:val="center"/>
                </w:tcPr>
                <w:p w14:paraId="36182AD1">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神奇的材料世界</w:t>
                  </w:r>
                </w:p>
              </w:tc>
              <w:tc>
                <w:tcPr>
                  <w:tcW w:w="1227" w:type="dxa"/>
                  <w:shd w:val="clear" w:color="auto" w:fill="auto"/>
                  <w:noWrap/>
                  <w:vAlign w:val="center"/>
                </w:tcPr>
                <w:p w14:paraId="582F5796">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7EDB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4EED0021">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19</w:t>
                  </w:r>
                </w:p>
              </w:tc>
              <w:tc>
                <w:tcPr>
                  <w:tcW w:w="3923" w:type="dxa"/>
                  <w:shd w:val="clear" w:color="auto" w:fill="auto"/>
                  <w:noWrap/>
                  <w:vAlign w:val="center"/>
                </w:tcPr>
                <w:p w14:paraId="752AC468">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数字时代的智能技术</w:t>
                  </w:r>
                </w:p>
              </w:tc>
              <w:tc>
                <w:tcPr>
                  <w:tcW w:w="1227" w:type="dxa"/>
                  <w:shd w:val="clear" w:color="auto" w:fill="auto"/>
                  <w:noWrap/>
                  <w:vAlign w:val="center"/>
                </w:tcPr>
                <w:p w14:paraId="04BDC27F">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01E8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387CB28A">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20</w:t>
                  </w:r>
                </w:p>
              </w:tc>
              <w:tc>
                <w:tcPr>
                  <w:tcW w:w="3923" w:type="dxa"/>
                  <w:shd w:val="clear" w:color="auto" w:fill="auto"/>
                  <w:noWrap/>
                  <w:vAlign w:val="center"/>
                </w:tcPr>
                <w:p w14:paraId="22DA234A">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机器人技术导论</w:t>
                  </w:r>
                </w:p>
              </w:tc>
              <w:tc>
                <w:tcPr>
                  <w:tcW w:w="1227" w:type="dxa"/>
                  <w:shd w:val="clear" w:color="auto" w:fill="auto"/>
                  <w:noWrap/>
                  <w:vAlign w:val="center"/>
                </w:tcPr>
                <w:p w14:paraId="2588887B">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05A8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514855B8">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21</w:t>
                  </w:r>
                </w:p>
              </w:tc>
              <w:tc>
                <w:tcPr>
                  <w:tcW w:w="3923" w:type="dxa"/>
                  <w:shd w:val="clear" w:color="auto" w:fill="auto"/>
                  <w:noWrap/>
                  <w:vAlign w:val="center"/>
                </w:tcPr>
                <w:p w14:paraId="5F0D65A9">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机械基础实景教学（机械原理）</w:t>
                  </w:r>
                </w:p>
              </w:tc>
              <w:tc>
                <w:tcPr>
                  <w:tcW w:w="1227" w:type="dxa"/>
                  <w:shd w:val="clear" w:color="auto" w:fill="auto"/>
                  <w:noWrap/>
                  <w:vAlign w:val="center"/>
                </w:tcPr>
                <w:p w14:paraId="2001F1DE">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3FBB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2F32B557">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22</w:t>
                  </w:r>
                </w:p>
              </w:tc>
              <w:tc>
                <w:tcPr>
                  <w:tcW w:w="3923" w:type="dxa"/>
                  <w:shd w:val="clear" w:color="auto" w:fill="auto"/>
                  <w:noWrap/>
                  <w:vAlign w:val="center"/>
                </w:tcPr>
                <w:p w14:paraId="476387E6">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新型传感技术</w:t>
                  </w:r>
                </w:p>
              </w:tc>
              <w:tc>
                <w:tcPr>
                  <w:tcW w:w="1227" w:type="dxa"/>
                  <w:shd w:val="clear" w:color="auto" w:fill="auto"/>
                  <w:noWrap/>
                  <w:vAlign w:val="center"/>
                </w:tcPr>
                <w:p w14:paraId="50614C5C">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3382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0CFB2493">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23</w:t>
                  </w:r>
                </w:p>
              </w:tc>
              <w:tc>
                <w:tcPr>
                  <w:tcW w:w="3923" w:type="dxa"/>
                  <w:shd w:val="clear" w:color="auto" w:fill="auto"/>
                  <w:noWrap/>
                  <w:vAlign w:val="center"/>
                </w:tcPr>
                <w:p w14:paraId="19B6E62F">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中国古代技术</w:t>
                  </w:r>
                </w:p>
              </w:tc>
              <w:tc>
                <w:tcPr>
                  <w:tcW w:w="1227" w:type="dxa"/>
                  <w:shd w:val="clear" w:color="auto" w:fill="auto"/>
                  <w:noWrap/>
                  <w:vAlign w:val="center"/>
                </w:tcPr>
                <w:p w14:paraId="18A95731">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03DE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39877D0E">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24</w:t>
                  </w:r>
                </w:p>
              </w:tc>
              <w:tc>
                <w:tcPr>
                  <w:tcW w:w="3923" w:type="dxa"/>
                  <w:shd w:val="clear" w:color="auto" w:fill="auto"/>
                  <w:noWrap/>
                  <w:vAlign w:val="center"/>
                </w:tcPr>
                <w:p w14:paraId="1DD55F26">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工程伦理</w:t>
                  </w:r>
                </w:p>
              </w:tc>
              <w:tc>
                <w:tcPr>
                  <w:tcW w:w="1227" w:type="dxa"/>
                  <w:shd w:val="clear" w:color="auto" w:fill="auto"/>
                  <w:noWrap/>
                  <w:vAlign w:val="center"/>
                </w:tcPr>
                <w:p w14:paraId="1DAFFF36">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3AF6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0951A7F4">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25</w:t>
                  </w:r>
                </w:p>
              </w:tc>
              <w:tc>
                <w:tcPr>
                  <w:tcW w:w="3923" w:type="dxa"/>
                  <w:shd w:val="clear" w:color="auto" w:fill="auto"/>
                  <w:noWrap/>
                  <w:vAlign w:val="center"/>
                </w:tcPr>
                <w:p w14:paraId="1CA4E30E">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红色经典影片与近现代中国发展</w:t>
                  </w:r>
                </w:p>
              </w:tc>
              <w:tc>
                <w:tcPr>
                  <w:tcW w:w="1227" w:type="dxa"/>
                  <w:shd w:val="clear" w:color="auto" w:fill="auto"/>
                  <w:noWrap/>
                  <w:vAlign w:val="center"/>
                </w:tcPr>
                <w:p w14:paraId="7CA75863">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34BF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2AF0E68B">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26</w:t>
                  </w:r>
                </w:p>
              </w:tc>
              <w:tc>
                <w:tcPr>
                  <w:tcW w:w="3923" w:type="dxa"/>
                  <w:shd w:val="clear" w:color="auto" w:fill="auto"/>
                  <w:noWrap/>
                  <w:vAlign w:val="center"/>
                </w:tcPr>
                <w:p w14:paraId="76C925C7">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马克思主义的时代解读</w:t>
                  </w:r>
                </w:p>
              </w:tc>
              <w:tc>
                <w:tcPr>
                  <w:tcW w:w="1227" w:type="dxa"/>
                  <w:shd w:val="clear" w:color="auto" w:fill="auto"/>
                  <w:noWrap/>
                  <w:vAlign w:val="center"/>
                </w:tcPr>
                <w:p w14:paraId="1DBB47D8">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7668B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41692C1E">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27</w:t>
                  </w:r>
                </w:p>
              </w:tc>
              <w:tc>
                <w:tcPr>
                  <w:tcW w:w="3923" w:type="dxa"/>
                  <w:shd w:val="clear" w:color="auto" w:fill="auto"/>
                  <w:noWrap/>
                  <w:vAlign w:val="center"/>
                </w:tcPr>
                <w:p w14:paraId="7ACE5ABA">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全面依法治国背景下的宪法</w:t>
                  </w:r>
                </w:p>
              </w:tc>
              <w:tc>
                <w:tcPr>
                  <w:tcW w:w="1227" w:type="dxa"/>
                  <w:shd w:val="clear" w:color="auto" w:fill="auto"/>
                  <w:noWrap/>
                  <w:vAlign w:val="center"/>
                </w:tcPr>
                <w:p w14:paraId="597B9DFC">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514E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2A0E5B42">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28</w:t>
                  </w:r>
                </w:p>
              </w:tc>
              <w:tc>
                <w:tcPr>
                  <w:tcW w:w="3923" w:type="dxa"/>
                  <w:shd w:val="clear" w:color="auto" w:fill="auto"/>
                  <w:noWrap/>
                  <w:vAlign w:val="center"/>
                </w:tcPr>
                <w:p w14:paraId="03CFA974">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对话大国工匠 致敬劳动模范</w:t>
                  </w:r>
                </w:p>
              </w:tc>
              <w:tc>
                <w:tcPr>
                  <w:tcW w:w="1227" w:type="dxa"/>
                  <w:shd w:val="clear" w:color="auto" w:fill="auto"/>
                  <w:noWrap/>
                  <w:vAlign w:val="center"/>
                </w:tcPr>
                <w:p w14:paraId="50A47CA4">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67DA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48CEA3FA">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29</w:t>
                  </w:r>
                </w:p>
              </w:tc>
              <w:tc>
                <w:tcPr>
                  <w:tcW w:w="3923" w:type="dxa"/>
                  <w:shd w:val="clear" w:color="auto" w:fill="auto"/>
                  <w:noWrap/>
                  <w:vAlign w:val="center"/>
                </w:tcPr>
                <w:p w14:paraId="3A758629">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乡村振兴的实践探索</w:t>
                  </w:r>
                </w:p>
              </w:tc>
              <w:tc>
                <w:tcPr>
                  <w:tcW w:w="1227" w:type="dxa"/>
                  <w:shd w:val="clear" w:color="auto" w:fill="auto"/>
                  <w:noWrap/>
                  <w:vAlign w:val="center"/>
                </w:tcPr>
                <w:p w14:paraId="49A8B2A7">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68B4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46C9A5D8">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30</w:t>
                  </w:r>
                </w:p>
              </w:tc>
              <w:tc>
                <w:tcPr>
                  <w:tcW w:w="3923" w:type="dxa"/>
                  <w:shd w:val="clear" w:color="auto" w:fill="auto"/>
                  <w:noWrap/>
                  <w:vAlign w:val="center"/>
                </w:tcPr>
                <w:p w14:paraId="40EC3B4A">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中华民族共同体概论</w:t>
                  </w:r>
                </w:p>
              </w:tc>
              <w:tc>
                <w:tcPr>
                  <w:tcW w:w="1227" w:type="dxa"/>
                  <w:shd w:val="clear" w:color="auto" w:fill="auto"/>
                  <w:noWrap/>
                  <w:vAlign w:val="center"/>
                </w:tcPr>
                <w:p w14:paraId="41AB6E55">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31F5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72B7F2CE">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31</w:t>
                  </w:r>
                </w:p>
              </w:tc>
              <w:tc>
                <w:tcPr>
                  <w:tcW w:w="3923" w:type="dxa"/>
                  <w:shd w:val="clear" w:color="auto" w:fill="auto"/>
                  <w:noWrap/>
                  <w:vAlign w:val="center"/>
                </w:tcPr>
                <w:p w14:paraId="15EAB9C1">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中国商贸文化</w:t>
                  </w:r>
                </w:p>
              </w:tc>
              <w:tc>
                <w:tcPr>
                  <w:tcW w:w="1227" w:type="dxa"/>
                  <w:shd w:val="clear" w:color="auto" w:fill="auto"/>
                  <w:noWrap/>
                  <w:vAlign w:val="center"/>
                </w:tcPr>
                <w:p w14:paraId="68E4F0C3">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3127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29877953">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32</w:t>
                  </w:r>
                </w:p>
              </w:tc>
              <w:tc>
                <w:tcPr>
                  <w:tcW w:w="3923" w:type="dxa"/>
                  <w:shd w:val="clear" w:color="auto" w:fill="auto"/>
                  <w:noWrap/>
                  <w:vAlign w:val="center"/>
                </w:tcPr>
                <w:p w14:paraId="4D4626CA">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急救与心理技能</w:t>
                  </w:r>
                </w:p>
              </w:tc>
              <w:tc>
                <w:tcPr>
                  <w:tcW w:w="1227" w:type="dxa"/>
                  <w:shd w:val="clear" w:color="auto" w:fill="auto"/>
                  <w:noWrap/>
                  <w:vAlign w:val="center"/>
                </w:tcPr>
                <w:p w14:paraId="174AF1B8">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21A5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63D3B511">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33</w:t>
                  </w:r>
                </w:p>
              </w:tc>
              <w:tc>
                <w:tcPr>
                  <w:tcW w:w="3923" w:type="dxa"/>
                  <w:shd w:val="clear" w:color="auto" w:fill="auto"/>
                  <w:noWrap/>
                  <w:vAlign w:val="center"/>
                </w:tcPr>
                <w:p w14:paraId="4BD631E1">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文化遗产与自然遗产</w:t>
                  </w:r>
                </w:p>
              </w:tc>
              <w:tc>
                <w:tcPr>
                  <w:tcW w:w="1227" w:type="dxa"/>
                  <w:shd w:val="clear" w:color="auto" w:fill="auto"/>
                  <w:noWrap/>
                  <w:vAlign w:val="center"/>
                </w:tcPr>
                <w:p w14:paraId="7344635F">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45DD8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565C8C3A">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34</w:t>
                  </w:r>
                </w:p>
              </w:tc>
              <w:tc>
                <w:tcPr>
                  <w:tcW w:w="3923" w:type="dxa"/>
                  <w:shd w:val="clear" w:color="auto" w:fill="auto"/>
                  <w:noWrap/>
                  <w:vAlign w:val="center"/>
                </w:tcPr>
                <w:p w14:paraId="377C8136">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TRIZ创新方法</w:t>
                  </w:r>
                </w:p>
              </w:tc>
              <w:tc>
                <w:tcPr>
                  <w:tcW w:w="1227" w:type="dxa"/>
                  <w:shd w:val="clear" w:color="auto" w:fill="auto"/>
                  <w:noWrap/>
                  <w:vAlign w:val="center"/>
                </w:tcPr>
                <w:p w14:paraId="3E75BCEC">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0F16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5FAE3D52">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35</w:t>
                  </w:r>
                </w:p>
              </w:tc>
              <w:tc>
                <w:tcPr>
                  <w:tcW w:w="3923" w:type="dxa"/>
                  <w:shd w:val="clear" w:color="auto" w:fill="auto"/>
                  <w:noWrap/>
                  <w:vAlign w:val="center"/>
                </w:tcPr>
                <w:p w14:paraId="3A735C70">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高等数学考研辅导课（二）</w:t>
                  </w:r>
                </w:p>
              </w:tc>
              <w:tc>
                <w:tcPr>
                  <w:tcW w:w="1227" w:type="dxa"/>
                  <w:shd w:val="clear" w:color="auto" w:fill="auto"/>
                  <w:noWrap/>
                  <w:vAlign w:val="center"/>
                </w:tcPr>
                <w:p w14:paraId="76AE12DF">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1D1D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7AE49D86">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36</w:t>
                  </w:r>
                </w:p>
              </w:tc>
              <w:tc>
                <w:tcPr>
                  <w:tcW w:w="3923" w:type="dxa"/>
                  <w:shd w:val="clear" w:color="auto" w:fill="auto"/>
                  <w:noWrap/>
                  <w:vAlign w:val="center"/>
                </w:tcPr>
                <w:p w14:paraId="2F7C2800">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高等数学考研辅导课（一）</w:t>
                  </w:r>
                </w:p>
              </w:tc>
              <w:tc>
                <w:tcPr>
                  <w:tcW w:w="1227" w:type="dxa"/>
                  <w:shd w:val="clear" w:color="auto" w:fill="auto"/>
                  <w:noWrap/>
                  <w:vAlign w:val="center"/>
                </w:tcPr>
                <w:p w14:paraId="49174777">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3E61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0E03802C">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37</w:t>
                  </w:r>
                </w:p>
              </w:tc>
              <w:tc>
                <w:tcPr>
                  <w:tcW w:w="3923" w:type="dxa"/>
                  <w:shd w:val="clear" w:color="auto" w:fill="auto"/>
                  <w:noWrap/>
                  <w:vAlign w:val="center"/>
                </w:tcPr>
                <w:p w14:paraId="3758D56D">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汉字文化解密</w:t>
                  </w:r>
                </w:p>
              </w:tc>
              <w:tc>
                <w:tcPr>
                  <w:tcW w:w="1227" w:type="dxa"/>
                  <w:shd w:val="clear" w:color="auto" w:fill="auto"/>
                  <w:noWrap/>
                  <w:vAlign w:val="center"/>
                </w:tcPr>
                <w:p w14:paraId="66008E56">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66E49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3AC50FE0">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38</w:t>
                  </w:r>
                </w:p>
              </w:tc>
              <w:tc>
                <w:tcPr>
                  <w:tcW w:w="3923" w:type="dxa"/>
                  <w:shd w:val="clear" w:color="auto" w:fill="auto"/>
                  <w:noWrap/>
                  <w:vAlign w:val="center"/>
                </w:tcPr>
                <w:p w14:paraId="34FEC81C">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心理学的智慧</w:t>
                  </w:r>
                </w:p>
              </w:tc>
              <w:tc>
                <w:tcPr>
                  <w:tcW w:w="1227" w:type="dxa"/>
                  <w:shd w:val="clear" w:color="auto" w:fill="auto"/>
                  <w:noWrap/>
                  <w:vAlign w:val="center"/>
                </w:tcPr>
                <w:p w14:paraId="2D4FBBCE">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5EEC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6B271EDB">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39</w:t>
                  </w:r>
                </w:p>
              </w:tc>
              <w:tc>
                <w:tcPr>
                  <w:tcW w:w="3923" w:type="dxa"/>
                  <w:shd w:val="clear" w:color="auto" w:fill="auto"/>
                  <w:noWrap/>
                  <w:vAlign w:val="center"/>
                </w:tcPr>
                <w:p w14:paraId="56D7ACBF">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绘画里的中国：走进大师与经典</w:t>
                  </w:r>
                </w:p>
              </w:tc>
              <w:tc>
                <w:tcPr>
                  <w:tcW w:w="1227" w:type="dxa"/>
                  <w:shd w:val="clear" w:color="auto" w:fill="auto"/>
                  <w:noWrap/>
                  <w:vAlign w:val="center"/>
                </w:tcPr>
                <w:p w14:paraId="2B0AF886">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1B971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44DB1C9A">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40</w:t>
                  </w:r>
                </w:p>
              </w:tc>
              <w:tc>
                <w:tcPr>
                  <w:tcW w:w="3923" w:type="dxa"/>
                  <w:shd w:val="clear" w:color="auto" w:fill="auto"/>
                  <w:noWrap/>
                  <w:vAlign w:val="center"/>
                </w:tcPr>
                <w:p w14:paraId="24E51EA8">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中国民间艺术的奇妙之旅</w:t>
                  </w:r>
                </w:p>
              </w:tc>
              <w:tc>
                <w:tcPr>
                  <w:tcW w:w="1227" w:type="dxa"/>
                  <w:shd w:val="clear" w:color="auto" w:fill="auto"/>
                  <w:noWrap/>
                  <w:vAlign w:val="center"/>
                </w:tcPr>
                <w:p w14:paraId="04D5DD4A">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r w14:paraId="3CD7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0DD721B6">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41</w:t>
                  </w:r>
                </w:p>
              </w:tc>
              <w:tc>
                <w:tcPr>
                  <w:tcW w:w="3923" w:type="dxa"/>
                  <w:shd w:val="clear" w:color="auto" w:fill="auto"/>
                  <w:noWrap/>
                  <w:vAlign w:val="center"/>
                </w:tcPr>
                <w:p w14:paraId="1134E9C9">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穿T恤听古典音乐</w:t>
                  </w:r>
                </w:p>
              </w:tc>
              <w:tc>
                <w:tcPr>
                  <w:tcW w:w="1227" w:type="dxa"/>
                  <w:shd w:val="clear" w:color="auto" w:fill="auto"/>
                  <w:noWrap/>
                  <w:vAlign w:val="center"/>
                </w:tcPr>
                <w:p w14:paraId="35F96D02">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6876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382B39E6">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42</w:t>
                  </w:r>
                </w:p>
              </w:tc>
              <w:tc>
                <w:tcPr>
                  <w:tcW w:w="3923" w:type="dxa"/>
                  <w:shd w:val="clear" w:color="auto" w:fill="auto"/>
                  <w:noWrap/>
                  <w:vAlign w:val="center"/>
                </w:tcPr>
                <w:p w14:paraId="6D58ECB1">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人人爱设计</w:t>
                  </w:r>
                </w:p>
              </w:tc>
              <w:tc>
                <w:tcPr>
                  <w:tcW w:w="1227" w:type="dxa"/>
                  <w:shd w:val="clear" w:color="auto" w:fill="auto"/>
                  <w:noWrap/>
                  <w:vAlign w:val="center"/>
                </w:tcPr>
                <w:p w14:paraId="077D2EBA">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1B03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1BEBADE6">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43</w:t>
                  </w:r>
                </w:p>
              </w:tc>
              <w:tc>
                <w:tcPr>
                  <w:tcW w:w="3923" w:type="dxa"/>
                  <w:shd w:val="clear" w:color="auto" w:fill="auto"/>
                  <w:noWrap/>
                  <w:vAlign w:val="center"/>
                </w:tcPr>
                <w:p w14:paraId="3B7B047B">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大学生涯规划与职业发展</w:t>
                  </w:r>
                </w:p>
              </w:tc>
              <w:tc>
                <w:tcPr>
                  <w:tcW w:w="1227" w:type="dxa"/>
                  <w:shd w:val="clear" w:color="auto" w:fill="auto"/>
                  <w:noWrap/>
                  <w:vAlign w:val="center"/>
                </w:tcPr>
                <w:p w14:paraId="7967B7CD">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4C0DB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764" w:type="dxa"/>
                  <w:shd w:val="clear" w:color="auto" w:fill="auto"/>
                  <w:noWrap/>
                  <w:vAlign w:val="center"/>
                </w:tcPr>
                <w:p w14:paraId="611C710C">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44</w:t>
                  </w:r>
                </w:p>
              </w:tc>
              <w:tc>
                <w:tcPr>
                  <w:tcW w:w="3923" w:type="dxa"/>
                  <w:shd w:val="clear" w:color="auto" w:fill="auto"/>
                  <w:noWrap/>
                  <w:vAlign w:val="center"/>
                </w:tcPr>
                <w:p w14:paraId="1B29BD51">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信息技术与创新创业</w:t>
                  </w:r>
                </w:p>
              </w:tc>
              <w:tc>
                <w:tcPr>
                  <w:tcW w:w="1227" w:type="dxa"/>
                  <w:shd w:val="clear" w:color="auto" w:fill="auto"/>
                  <w:noWrap/>
                  <w:vAlign w:val="center"/>
                </w:tcPr>
                <w:p w14:paraId="2B508BBE">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专科课程</w:t>
                  </w:r>
                </w:p>
              </w:tc>
            </w:tr>
            <w:tr w14:paraId="59EF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764" w:type="dxa"/>
                  <w:shd w:val="clear" w:color="auto" w:fill="auto"/>
                  <w:noWrap/>
                  <w:vAlign w:val="center"/>
                </w:tcPr>
                <w:p w14:paraId="4644DEF8">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45</w:t>
                  </w:r>
                </w:p>
              </w:tc>
              <w:tc>
                <w:tcPr>
                  <w:tcW w:w="3923" w:type="dxa"/>
                  <w:shd w:val="clear" w:color="auto" w:fill="auto"/>
                  <w:noWrap/>
                  <w:vAlign w:val="center"/>
                </w:tcPr>
                <w:p w14:paraId="5B2AB326">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脑洞大开背后的创新思维</w:t>
                  </w:r>
                </w:p>
              </w:tc>
              <w:tc>
                <w:tcPr>
                  <w:tcW w:w="1227" w:type="dxa"/>
                  <w:shd w:val="clear" w:color="auto" w:fill="auto"/>
                  <w:noWrap/>
                  <w:vAlign w:val="center"/>
                </w:tcPr>
                <w:p w14:paraId="10279798">
                  <w:pPr>
                    <w:widowControl/>
                    <w:jc w:val="center"/>
                    <w:textAlignment w:val="center"/>
                    <w:rPr>
                      <w:rFonts w:ascii="宋体" w:hAnsi="宋体" w:cs="宋体"/>
                      <w:color w:val="000000"/>
                      <w:sz w:val="24"/>
                      <w:szCs w:val="24"/>
                    </w:rPr>
                  </w:pPr>
                  <w:r>
                    <w:rPr>
                      <w:rFonts w:hint="eastAsia" w:ascii="宋体" w:hAnsi="宋体" w:eastAsia="宋体" w:cs="宋体"/>
                      <w:color w:val="000000"/>
                      <w:kern w:val="0"/>
                      <w:szCs w:val="21"/>
                      <w:lang w:bidi="ar"/>
                    </w:rPr>
                    <w:t>本科课程</w:t>
                  </w:r>
                </w:p>
              </w:tc>
            </w:tr>
          </w:tbl>
          <w:p w14:paraId="661C5467">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2.配套资源要求</w:t>
            </w:r>
          </w:p>
          <w:p w14:paraId="67DEE5AE">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配套题库：题库应包括单选题、多选题、判断题、填空题、简答题等五种题型。课程视频数量多于20个，每门课程配套题库题目数量应不少于30道。教育主管部门相关政策另有规定时以具体规定为准。如课程内容不适合出简答、填空等主观题，可以暂不设置，但此类课程占总课程数量不得超过2%，此类课程题库总量不</w:t>
            </w:r>
            <w:r>
              <w:rPr>
                <w:rFonts w:hint="eastAsia" w:ascii="宋体" w:hAnsi="宋体" w:eastAsia="宋体" w:cs="宋体"/>
                <w:spacing w:val="-3"/>
                <w:szCs w:val="21"/>
                <w:lang w:eastAsia="zh-CN"/>
              </w:rPr>
              <w:t>作</w:t>
            </w:r>
            <w:r>
              <w:rPr>
                <w:rFonts w:hint="eastAsia" w:ascii="宋体" w:hAnsi="宋体" w:eastAsia="宋体" w:cs="宋体"/>
                <w:spacing w:val="-3"/>
                <w:szCs w:val="21"/>
              </w:rPr>
              <w:t>要求。</w:t>
            </w:r>
          </w:p>
          <w:p w14:paraId="6D1E447C">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2）试题难易程度：需提供难、中、易三种难度期末试卷供用户选择。难度为“易”的试卷需包括单选题、多选题、判断题三种题型；难度为“中”的试卷需包括单选题、多选题、判断题、填空题四种题型；难度为“难”的试卷需包括单选题、多选题、判断题、填空题、简答题。教育主管部门相关政策另有规定时以具体规定为准。如课程内容不适合出简答、填空等主观题的，可以暂不设置，但此类课程占总课程数量不得超过2%。</w:t>
            </w:r>
          </w:p>
          <w:p w14:paraId="3D36480D">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3）重点课程类型要求中的示范必修课应包含完整的教学视频、配套习题、教学PPT等内容。其中，ppt内容应符合教育部等主管部门公布的课程大纲要求，主管部门未公布课程大纲的，可参考相关领域权威高校课程内容。</w:t>
            </w:r>
          </w:p>
          <w:p w14:paraId="6676F010">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二、通识课程资源配套学习平台要求</w:t>
            </w:r>
          </w:p>
          <w:p w14:paraId="7BE491BE">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1.技术服务要求</w:t>
            </w:r>
          </w:p>
          <w:p w14:paraId="0AB81080">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（1）具备保障本校校内≥10000人同时在线学习的运营服务能力。</w:t>
            </w:r>
          </w:p>
          <w:p w14:paraId="525DB652">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（2）支持云服务、混合部署等部署方式。</w:t>
            </w:r>
          </w:p>
          <w:p w14:paraId="70284DFD">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（3）报价人服务期内免费更新维护配套学习平台。</w:t>
            </w:r>
          </w:p>
          <w:p w14:paraId="10269E18">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（4）报价人在服务期满期后2年内，根据采购人要求免费提供学习数据导出服务。</w:t>
            </w:r>
          </w:p>
          <w:p w14:paraId="5544D9D2">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2.系统对接要求：</w:t>
            </w:r>
          </w:p>
          <w:p w14:paraId="4D653151">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（1）学习平台实现与采购人的统一身份认证平台、教务管理系统数据对接，按采购人要求实现数据对接。</w:t>
            </w:r>
          </w:p>
          <w:p w14:paraId="3E21DD12">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（2）实现课程成绩导出与教务系统对接。</w:t>
            </w:r>
          </w:p>
          <w:p w14:paraId="342AE3EA">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3.通识课程教学管理相关功能要求</w:t>
            </w:r>
          </w:p>
          <w:p w14:paraId="6C7662D2">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考核维度根据采购人需要统一设置，根据不同课程分别设置。知识点自选课程考核以下所有操作行为：登录、视频观看时长、阅读时长、测验题、讨论、学习笔记、线下活动。其他课程考核应包含但不限于签到、视频、作业、考试、阅读、直播、登录（访问）、线下成绩等维度。考核维度所占权重支持用户自定义设置，支持在整个学习流程中随时修改。</w:t>
            </w:r>
          </w:p>
          <w:p w14:paraId="14B9F1D3">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2）支持对助教教师及学生的行为进行记录与分析。包括学生使用各模块学习的时间分配、学习次数，学生学习教学资料、参与辅助教学的情况汇总；提供教师工作行为记录分析，包括教师使用各模块教学的时间分配、教学次数。</w:t>
            </w:r>
          </w:p>
          <w:p w14:paraId="3C7EF5E8">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（3）采用多种手段对某一课程的教学效果进行在线实时统计，对班级成绩进行统计分析，对教师、学生行为进行统计分析，支持表单和图表样式显示结果，可以导出统计结果。</w:t>
            </w:r>
          </w:p>
          <w:p w14:paraId="6DAC9F58">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4.课程教学相关功能要求</w:t>
            </w:r>
          </w:p>
          <w:p w14:paraId="1269D98C">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（1）课程视频需支持开启或关闭闯关式教学。开启状态下，学生必须完成当前任务后方可进入下一章节，在取消闯关模式后学生可自由进行学习。</w:t>
            </w:r>
          </w:p>
          <w:p w14:paraId="01CB9CF7">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（2）课程支持复习模式，允许学生自由学习课程内容。复习模式下观看视频、作答测验不记录学习成绩。</w:t>
            </w:r>
          </w:p>
          <w:p w14:paraId="7B515FAE">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（3）学生在线学习课程时，支持进度记忆、支持防止拖拽、防止跳集观看3种功能，防止观看课程时进行其他活动。</w:t>
            </w:r>
          </w:p>
          <w:p w14:paraId="7BD0A001">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 xml:space="preserve">（4）学生考核包含视频、作业、考试、章节学习次数4个维度，根据需要灵活设置。 </w:t>
            </w:r>
          </w:p>
          <w:p w14:paraId="0D9738A2">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（5）除了平台课程自带题库外，需支持教师自主出题并批量上传至课程题库（上传格式支持word），支持批量下载。教师在编辑课程内容时可直接调取题库内容。</w:t>
            </w:r>
          </w:p>
          <w:p w14:paraId="7D645279">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（6）课程章节测验应支持高级设置功能，允许用户自主决定是否允许学生提交作业后查看答案、查看分数、查看对错情况，支持将题目设置为随机乱序，支持从指定题库中抽选特定数量题目要求学生作答。</w:t>
            </w:r>
          </w:p>
          <w:p w14:paraId="0CBCF1EF">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（7）在线考试支持网页端考试、手机端考试、电脑客户端考试。电脑客户端需提供非公开下载软件客户端，并设置客户端有效期。</w:t>
            </w:r>
          </w:p>
          <w:p w14:paraId="479A089C">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（8）移动端考试：支持学生通过人脸识别方可进入考试界面的功能，防止考试作弊。</w:t>
            </w:r>
          </w:p>
          <w:p w14:paraId="7B4917A5">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（9）考试过程中提供考试纪律监控相关技术支持，包括通过人像比对确保考生本人考试、通过摄像头抓拍实现过程监控、对学生切出考试页面进行提醒、题目及选项乱序等。</w:t>
            </w:r>
          </w:p>
          <w:p w14:paraId="3E1D0004">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（10）学生通过移动端进行在线课程的学习、作业、考试、讨论、答疑5种操作。</w:t>
            </w:r>
          </w:p>
          <w:p w14:paraId="799662A8">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（11）拓展阅读功能模块，允许教师对阅读资源进行自定义分类、自主添加或删除阅读资源。自主添加的阅读资源考核办法应与系统默认资源考核办法一致。</w:t>
            </w:r>
          </w:p>
          <w:p w14:paraId="1953B2A2">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（12）教师可在移动端有序</w:t>
            </w:r>
            <w:r>
              <w:rPr>
                <w:rFonts w:hint="eastAsia" w:ascii="宋体" w:hAnsi="宋体" w:eastAsia="宋体" w:cs="宋体"/>
                <w:spacing w:val="-3"/>
                <w:szCs w:val="21"/>
                <w:lang w:eastAsia="zh-CN"/>
              </w:rPr>
              <w:t>地</w:t>
            </w:r>
            <w:r>
              <w:rPr>
                <w:rFonts w:hint="eastAsia" w:ascii="宋体" w:hAnsi="宋体" w:eastAsia="宋体" w:cs="宋体"/>
                <w:spacing w:val="-3"/>
                <w:szCs w:val="21"/>
              </w:rPr>
              <w:t>发布签到、问卷、选任、投票、直播、作业、考试分组任务、主题讨论、抢答、评分、随堂练习等教学活动，可实现互动内容课堂发放并复用。</w:t>
            </w:r>
          </w:p>
          <w:p w14:paraId="3AF89E09">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（13）开学教育支持以观看时长为维度考核学生观看情况，支持查看学生观看情况等相关学习数据。</w:t>
            </w:r>
          </w:p>
          <w:p w14:paraId="6ED3870C">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（14）课程结束后，支持将班级、课程归档，归档后学生无法继续查看课程内容及数据。班级、课程归档后可随时恢复或彻底删除。</w:t>
            </w:r>
          </w:p>
          <w:p w14:paraId="43F0D803">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（15）教师可以在移动客户端选择给指定的人发送通知，并统计已读和未读名单，移动端支持发送督学提醒，如短信提醒、微信提醒、邮箱提醒3种提醒。</w:t>
            </w:r>
          </w:p>
          <w:p w14:paraId="099BC049">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（16）支持学习笔记管理、编辑、分享，支持转发。</w:t>
            </w:r>
          </w:p>
          <w:p w14:paraId="372C7827">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（17）教师可以发布课堂签到，签到方式有：二维码方式、位置方式、手势方式、拍照方式4种方式进行签到。</w:t>
            </w:r>
          </w:p>
          <w:p w14:paraId="400A3C85">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（18）教师可以对课程进行管理，在课程管理中对学生端进行设置，学生进入章节学习页面时开启人脸识别。支持手机端、电脑端摄像头进行人脸识别2种形式。</w:t>
            </w:r>
          </w:p>
          <w:p w14:paraId="63C097AD">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（19）防刷课：学生学习在线课程时，平台支持监视频浏览时间的功能，以检测到学生是否有刷课行为。</w:t>
            </w:r>
          </w:p>
          <w:p w14:paraId="6E87AE1F">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（20）防作弊：对于同一套作业，支持设置题目乱序、选项乱序、不允许查看答案3种功能，防止学生作弊。</w:t>
            </w:r>
          </w:p>
          <w:p w14:paraId="662FD924">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（21）在线监考：支持监考教师实时查看每位考生是否进入考试、进入时间、人脸识别情况、屏幕抓拍、摄像头抓拍5种功能。</w:t>
            </w:r>
          </w:p>
          <w:p w14:paraId="54AA19E9">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22）支持慕课教学模式，建设课程单元，每个课程单元可以设置多个标签页，课程单元内容建设采用富媒体编辑器，包含视频、文档、图片、音频、图书、公式、符号、附件、网页、动画等常用组件，并且支持插入电子图书，拓展阅读（如报纸、期刊资源）。</w:t>
            </w:r>
          </w:p>
          <w:p w14:paraId="1CB0E5B3">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5.平台拓展功能要求</w:t>
            </w:r>
          </w:p>
          <w:p w14:paraId="4968C6A3">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（1）通识课程平台APP端需支持iOS、安卓、鸿蒙系统，实现在线移动教学功能。移动端与PC端学习进度、学习数据、教学管控功能保持一致，教师可以对课程和学生进行统一管理。</w:t>
            </w:r>
          </w:p>
          <w:p w14:paraId="53994769">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（2）教师可发布通知，并实时推送到学生的各个终端；系统自动反馈通知阅读情况，教师可在线查看。学生可在收件箱中查看所有通知。</w:t>
            </w:r>
          </w:p>
          <w:p w14:paraId="3A556C13">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三、人员服务支持</w:t>
            </w:r>
          </w:p>
          <w:p w14:paraId="7A1FE213">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1.报价人提供教学和教务全程服务，包括开课/结课的所有对接服务，学生信息、学习成绩及学分的导入/导出等。</w:t>
            </w:r>
          </w:p>
          <w:p w14:paraId="3430F68D">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2.结课后免费提供针对采购人的课程运行报告</w:t>
            </w:r>
            <w:r>
              <w:rPr>
                <w:rFonts w:hint="eastAsia" w:ascii="宋体" w:hAnsi="宋体" w:eastAsia="宋体" w:cs="宋体"/>
                <w:spacing w:val="-3"/>
                <w:szCs w:val="21"/>
                <w:lang w:eastAsia="zh-CN"/>
              </w:rPr>
              <w:t>，</w:t>
            </w:r>
            <w:r>
              <w:rPr>
                <w:rFonts w:hint="eastAsia" w:ascii="宋体" w:hAnsi="宋体" w:eastAsia="宋体" w:cs="宋体"/>
                <w:spacing w:val="-3"/>
                <w:szCs w:val="21"/>
              </w:rPr>
              <w:t>报告包含数据展示及数据分析，能够展示数据对应含义。</w:t>
            </w:r>
          </w:p>
          <w:p w14:paraId="556F5E9B">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3.提供在线客服、电话客服解决师生使用问题；学生学习的导学、督学服务。</w:t>
            </w:r>
          </w:p>
          <w:p w14:paraId="580D58AC">
            <w:pPr>
              <w:spacing w:before="94" w:line="220" w:lineRule="auto"/>
              <w:rPr>
                <w:rFonts w:hint="eastAsia" w:ascii="宋体" w:hAnsi="宋体" w:eastAsia="宋体" w:cs="宋体"/>
                <w:spacing w:val="-3"/>
                <w:szCs w:val="21"/>
              </w:rPr>
            </w:pPr>
            <w:r>
              <w:rPr>
                <w:rFonts w:hint="eastAsia" w:ascii="宋体" w:hAnsi="宋体" w:eastAsia="宋体" w:cs="宋体"/>
                <w:spacing w:val="-3"/>
                <w:szCs w:val="21"/>
              </w:rPr>
              <w:t>4.</w:t>
            </w:r>
            <w:r>
              <w:rPr>
                <w:rFonts w:hint="eastAsia" w:ascii="宋体" w:hAnsi="宋体" w:eastAsia="宋体" w:cs="宋体"/>
                <w:spacing w:val="-3"/>
                <w:szCs w:val="21"/>
                <w:highlight w:val="none"/>
              </w:rPr>
              <w:t>服务期间上门培</w:t>
            </w:r>
            <w:r>
              <w:rPr>
                <w:rFonts w:hint="eastAsia" w:ascii="宋体" w:hAnsi="宋体" w:eastAsia="宋体" w:cs="宋体"/>
                <w:spacing w:val="-3"/>
                <w:szCs w:val="21"/>
              </w:rPr>
              <w:t>训服务≥2次并根据采购人指定时间、地点、规模。</w:t>
            </w:r>
          </w:p>
          <w:p w14:paraId="14E977BD">
            <w:pPr>
              <w:spacing w:before="94" w:line="220" w:lineRule="auto"/>
              <w:rPr>
                <w:rFonts w:ascii="宋体" w:hAnsi="宋体" w:eastAsia="宋体" w:cs="宋体"/>
                <w:spacing w:val="-3"/>
                <w:szCs w:val="21"/>
              </w:rPr>
            </w:pPr>
            <w:r>
              <w:rPr>
                <w:rFonts w:hint="eastAsia" w:ascii="宋体" w:hAnsi="宋体" w:eastAsia="宋体" w:cs="宋体"/>
                <w:spacing w:val="-3"/>
                <w:szCs w:val="21"/>
              </w:rPr>
              <w:t>5.免费提供操作手册、常见问题列表和操作视频等参考资料。</w:t>
            </w:r>
          </w:p>
        </w:tc>
        <w:tc>
          <w:tcPr>
            <w:tcW w:w="375" w:type="dxa"/>
            <w:shd w:val="clear" w:color="auto" w:fill="auto"/>
            <w:noWrap/>
          </w:tcPr>
          <w:p w14:paraId="1AB08FDC">
            <w:pPr>
              <w:widowControl/>
              <w:rPr>
                <w:rFonts w:ascii="Arial" w:hAnsi="Arial" w:cs="Arial"/>
                <w:kern w:val="0"/>
                <w:szCs w:val="21"/>
              </w:rPr>
            </w:pPr>
            <w:r>
              <w:rPr>
                <w:rFonts w:hint="eastAsia" w:ascii="Arial" w:hAnsi="Arial" w:cs="Arial"/>
                <w:kern w:val="0"/>
                <w:szCs w:val="21"/>
              </w:rPr>
              <w:t>1</w:t>
            </w:r>
          </w:p>
        </w:tc>
        <w:tc>
          <w:tcPr>
            <w:tcW w:w="465" w:type="dxa"/>
            <w:shd w:val="clear" w:color="auto" w:fill="auto"/>
            <w:noWrap/>
          </w:tcPr>
          <w:p w14:paraId="2339F74B">
            <w:pPr>
              <w:widowControl/>
              <w:rPr>
                <w:rFonts w:ascii="Arial" w:hAnsi="Arial" w:cs="Arial"/>
                <w:kern w:val="0"/>
                <w:szCs w:val="21"/>
              </w:rPr>
            </w:pPr>
            <w:r>
              <w:rPr>
                <w:rFonts w:hint="eastAsia" w:ascii="Arial" w:hAnsi="Arial" w:cs="Arial"/>
                <w:kern w:val="0"/>
                <w:szCs w:val="21"/>
              </w:rPr>
              <w:t>项</w:t>
            </w:r>
          </w:p>
        </w:tc>
      </w:tr>
      <w:tr w14:paraId="013E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7" w:hRule="atLeast"/>
          <w:jc w:val="center"/>
        </w:trPr>
        <w:tc>
          <w:tcPr>
            <w:tcW w:w="1379" w:type="dxa"/>
            <w:gridSpan w:val="2"/>
            <w:vAlign w:val="center"/>
          </w:tcPr>
          <w:p w14:paraId="53C54A08">
            <w:pPr>
              <w:widowControl/>
              <w:jc w:val="center"/>
              <w:rPr>
                <w:rFonts w:ascii="Arial" w:hAnsi="Arial" w:cs="Arial"/>
                <w:kern w:val="0"/>
                <w:szCs w:val="21"/>
              </w:rPr>
            </w:pPr>
            <w:r>
              <w:rPr>
                <w:rFonts w:ascii="Arial" w:hAnsi="Arial" w:cs="Arial"/>
                <w:kern w:val="0"/>
                <w:szCs w:val="21"/>
              </w:rPr>
              <w:t>商务要求</w:t>
            </w:r>
          </w:p>
        </w:tc>
        <w:tc>
          <w:tcPr>
            <w:tcW w:w="8687" w:type="dxa"/>
            <w:gridSpan w:val="3"/>
            <w:shd w:val="clear" w:color="auto" w:fill="auto"/>
            <w:noWrap/>
          </w:tcPr>
          <w:p w14:paraId="52CEBA40">
            <w:pPr>
              <w:numPr>
                <w:ilvl w:val="0"/>
                <w:numId w:val="3"/>
              </w:numPr>
              <w:spacing w:line="360" w:lineRule="auto"/>
              <w:rPr>
                <w:rFonts w:hint="eastAsia"/>
              </w:rPr>
            </w:pPr>
            <w:r>
              <w:rPr>
                <w:rFonts w:hint="eastAsia"/>
              </w:rPr>
              <w:t>交付时间：自合同签订之日起</w:t>
            </w:r>
            <w:r>
              <w:rPr>
                <w:rFonts w:hint="eastAsia"/>
                <w:b/>
                <w:u w:val="single"/>
              </w:rPr>
              <w:t xml:space="preserve">30 </w:t>
            </w:r>
            <w:r>
              <w:rPr>
                <w:rFonts w:hint="eastAsia"/>
                <w:b/>
              </w:rPr>
              <w:t>日</w:t>
            </w:r>
            <w:r>
              <w:rPr>
                <w:rFonts w:hint="eastAsia"/>
              </w:rPr>
              <w:t>内验收合格并交付使用。</w:t>
            </w:r>
          </w:p>
          <w:p w14:paraId="1FBC0057">
            <w:pPr>
              <w:spacing w:line="360" w:lineRule="auto"/>
              <w:rPr>
                <w:rFonts w:hint="default" w:eastAsiaTheme="minorEastAsia"/>
                <w:lang w:val="en-US" w:eastAsia="zh-CN"/>
              </w:rPr>
            </w:pPr>
            <w:r>
              <w:rPr>
                <w:rFonts w:hint="eastAsia"/>
                <w:lang w:val="en-US" w:eastAsia="zh-CN"/>
              </w:rPr>
              <w:t>服务期：</w:t>
            </w:r>
            <w:r>
              <w:rPr>
                <w:rFonts w:hint="eastAsia"/>
              </w:rPr>
              <w:t>自验收合格并交付使用之日起</w:t>
            </w:r>
            <w:r>
              <w:rPr>
                <w:rFonts w:hint="eastAsia"/>
                <w:b/>
                <w:u w:val="single"/>
              </w:rPr>
              <w:t>1</w:t>
            </w:r>
            <w:r>
              <w:rPr>
                <w:rFonts w:hint="eastAsia"/>
                <w:b/>
              </w:rPr>
              <w:t>年</w:t>
            </w:r>
            <w:r>
              <w:rPr>
                <w:rFonts w:hint="eastAsia"/>
              </w:rPr>
              <w:t>。</w:t>
            </w:r>
          </w:p>
          <w:p w14:paraId="389B4DAF">
            <w:pPr>
              <w:spacing w:line="360" w:lineRule="auto"/>
            </w:pPr>
            <w:r>
              <w:rPr>
                <w:rFonts w:hint="eastAsia"/>
              </w:rPr>
              <w:t>质保期：自验收合格并交付使用之日起</w:t>
            </w:r>
            <w:r>
              <w:rPr>
                <w:rFonts w:hint="eastAsia"/>
                <w:b/>
                <w:u w:val="single"/>
              </w:rPr>
              <w:t>1</w:t>
            </w:r>
            <w:r>
              <w:rPr>
                <w:rFonts w:hint="eastAsia"/>
                <w:b/>
              </w:rPr>
              <w:t>年</w:t>
            </w:r>
            <w:r>
              <w:rPr>
                <w:rFonts w:hint="eastAsia"/>
              </w:rPr>
              <w:t>。</w:t>
            </w:r>
          </w:p>
          <w:p w14:paraId="3EF726CB">
            <w:pPr>
              <w:pStyle w:val="7"/>
              <w:rPr>
                <w:rFonts w:cs="Times New Roman"/>
                <w:szCs w:val="21"/>
              </w:rPr>
            </w:pPr>
            <w:r>
              <w:rPr>
                <w:rFonts w:hint="eastAsia" w:cs="Times New Roman"/>
                <w:szCs w:val="21"/>
              </w:rPr>
              <w:t>2.技术支持和服务要求</w:t>
            </w:r>
          </w:p>
          <w:p w14:paraId="06FBDB3E">
            <w:pPr>
              <w:snapToGrid w:val="0"/>
              <w:spacing w:line="276" w:lineRule="auto"/>
              <w:rPr>
                <w:rFonts w:ascii="宋体" w:hAnsi="宋体"/>
                <w:kern w:val="0"/>
              </w:rPr>
            </w:pPr>
            <w:r>
              <w:rPr>
                <w:rFonts w:hint="eastAsia" w:ascii="宋体" w:hAnsi="宋体"/>
                <w:kern w:val="0"/>
              </w:rPr>
              <w:t>本</w:t>
            </w:r>
            <w:r>
              <w:rPr>
                <w:rFonts w:ascii="宋体" w:hAnsi="宋体"/>
                <w:kern w:val="0"/>
              </w:rPr>
              <w:t>项目所提供的全部货物（含硬件、软件及服务）必须完全满足</w:t>
            </w:r>
            <w:r>
              <w:rPr>
                <w:rFonts w:hint="eastAsia" w:ascii="宋体" w:hAnsi="宋体"/>
                <w:kern w:val="0"/>
              </w:rPr>
              <w:t>报价</w:t>
            </w:r>
            <w:r>
              <w:rPr>
                <w:rFonts w:ascii="宋体" w:hAnsi="宋体"/>
                <w:kern w:val="0"/>
              </w:rPr>
              <w:t>文件所述要求，如中标</w:t>
            </w:r>
            <w:r>
              <w:rPr>
                <w:rFonts w:hint="eastAsia" w:ascii="宋体" w:hAnsi="宋体"/>
                <w:kern w:val="0"/>
              </w:rPr>
              <w:t>报价人</w:t>
            </w:r>
            <w:r>
              <w:rPr>
                <w:rFonts w:ascii="宋体" w:hAnsi="宋体"/>
                <w:kern w:val="0"/>
              </w:rPr>
              <w:t>在</w:t>
            </w:r>
            <w:r>
              <w:rPr>
                <w:rFonts w:hint="eastAsia" w:ascii="宋体" w:hAnsi="宋体"/>
                <w:kern w:val="0"/>
              </w:rPr>
              <w:t>报价</w:t>
            </w:r>
            <w:r>
              <w:rPr>
                <w:rFonts w:ascii="宋体" w:hAnsi="宋体"/>
                <w:kern w:val="0"/>
              </w:rPr>
              <w:t>文件中有承诺正偏离的应按其正偏离内容执行。</w:t>
            </w:r>
          </w:p>
          <w:p w14:paraId="583CB988">
            <w:pPr>
              <w:pStyle w:val="7"/>
              <w:rPr>
                <w:rFonts w:cs="Times New Roman"/>
                <w:szCs w:val="21"/>
              </w:rPr>
            </w:pPr>
            <w:r>
              <w:rPr>
                <w:rFonts w:hint="eastAsia" w:cs="Times New Roman"/>
                <w:szCs w:val="21"/>
              </w:rPr>
              <w:t>3.知识产权及保密要求</w:t>
            </w:r>
          </w:p>
          <w:p w14:paraId="5A9DBEEB">
            <w:pPr>
              <w:pStyle w:val="7"/>
              <w:rPr>
                <w:rFonts w:cs="Times New Roman"/>
                <w:szCs w:val="21"/>
              </w:rPr>
            </w:pPr>
            <w:r>
              <w:rPr>
                <w:rFonts w:hint="eastAsia" w:cs="Times New Roman"/>
                <w:szCs w:val="21"/>
              </w:rPr>
              <w:t>（1）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6173D7F3">
            <w:pPr>
              <w:pStyle w:val="7"/>
              <w:rPr>
                <w:rFonts w:cs="Times New Roman"/>
                <w:szCs w:val="21"/>
              </w:rPr>
            </w:pPr>
            <w:r>
              <w:rPr>
                <w:rFonts w:hint="eastAsia" w:cs="Times New Roman"/>
                <w:szCs w:val="21"/>
              </w:rPr>
              <w:t>（2）报价人因未经授权而实施的商业性复制行为构成违约或侵权责任造成采购人损失的，由其承担相关责任并赔偿采购人经济损失。</w:t>
            </w:r>
          </w:p>
          <w:p w14:paraId="5C7B3E89">
            <w:pPr>
              <w:snapToGrid w:val="0"/>
              <w:spacing w:line="276" w:lineRule="auto"/>
              <w:rPr>
                <w:rFonts w:ascii="宋体" w:hAnsi="宋体"/>
                <w:kern w:val="0"/>
              </w:rPr>
            </w:pPr>
            <w:r>
              <w:rPr>
                <w:rFonts w:hint="eastAsia" w:ascii="宋体" w:hAnsi="宋体"/>
                <w:kern w:val="0"/>
              </w:rPr>
              <w:t>（3）</w:t>
            </w:r>
            <w:r>
              <w:rPr>
                <w:rFonts w:ascii="宋体" w:hAnsi="宋体"/>
                <w:kern w:val="0"/>
              </w:rPr>
              <w:t>中标</w:t>
            </w:r>
            <w:r>
              <w:rPr>
                <w:rFonts w:hint="eastAsia" w:ascii="宋体" w:hAnsi="宋体"/>
                <w:kern w:val="0"/>
              </w:rPr>
              <w:t>报价人</w:t>
            </w:r>
            <w:r>
              <w:rPr>
                <w:rFonts w:ascii="宋体" w:hAnsi="宋体"/>
                <w:kern w:val="0"/>
              </w:rPr>
              <w:t>应保证针对本项目的货物（含硬件、软件及服务）</w:t>
            </w:r>
            <w:r>
              <w:rPr>
                <w:rFonts w:hint="eastAsia" w:ascii="宋体" w:hAnsi="宋体"/>
                <w:kern w:val="0"/>
              </w:rPr>
              <w:t>涉及</w:t>
            </w:r>
            <w:r>
              <w:rPr>
                <w:rFonts w:ascii="宋体" w:hAnsi="宋体"/>
                <w:kern w:val="0"/>
              </w:rPr>
              <w:t>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kern w:val="0"/>
              </w:rPr>
              <w:t>报价</w:t>
            </w:r>
            <w:r>
              <w:rPr>
                <w:rFonts w:ascii="宋体" w:hAnsi="宋体"/>
                <w:kern w:val="0"/>
              </w:rPr>
              <w:t>人承担。</w:t>
            </w:r>
          </w:p>
          <w:p w14:paraId="0F7F07E0">
            <w:pPr>
              <w:snapToGrid w:val="0"/>
              <w:spacing w:line="276" w:lineRule="auto"/>
              <w:rPr>
                <w:rFonts w:ascii="宋体" w:hAnsi="宋体"/>
                <w:kern w:val="0"/>
              </w:rPr>
            </w:pPr>
            <w:r>
              <w:rPr>
                <w:rFonts w:hint="eastAsia" w:ascii="宋体" w:hAnsi="宋体"/>
                <w:kern w:val="0"/>
              </w:rPr>
              <w:t>（4）报价人需对项目内容有保密义务，未经过采购人同意不允许将项目任何内容传播给采购人以外的单位或个人，</w:t>
            </w:r>
            <w:r>
              <w:rPr>
                <w:rFonts w:ascii="宋体" w:hAnsi="宋体"/>
                <w:kern w:val="0"/>
              </w:rPr>
              <w:t>如出现此情况，一切经济和法律责任均由</w:t>
            </w:r>
            <w:r>
              <w:rPr>
                <w:rFonts w:hint="eastAsia" w:ascii="宋体" w:hAnsi="宋体"/>
                <w:kern w:val="0"/>
              </w:rPr>
              <w:t>报价</w:t>
            </w:r>
            <w:r>
              <w:rPr>
                <w:rFonts w:ascii="宋体" w:hAnsi="宋体"/>
                <w:kern w:val="0"/>
              </w:rPr>
              <w:t>人承担。</w:t>
            </w:r>
          </w:p>
          <w:p w14:paraId="64C89C6B">
            <w:pPr>
              <w:widowControl/>
              <w:adjustRightInd w:val="0"/>
              <w:snapToGrid w:val="0"/>
              <w:spacing w:line="520" w:lineRule="exact"/>
              <w:rPr>
                <w:rFonts w:ascii="Arial" w:hAnsi="Arial" w:eastAsia="宋体" w:cs="Arial"/>
                <w:b/>
                <w:bCs/>
                <w:kern w:val="0"/>
                <w:szCs w:val="21"/>
              </w:rPr>
            </w:pPr>
            <w:r>
              <w:rPr>
                <w:rFonts w:hint="eastAsia" w:ascii="Arial" w:hAnsi="Arial" w:eastAsia="宋体" w:cs="Arial"/>
                <w:b/>
                <w:bCs/>
                <w:kern w:val="0"/>
                <w:szCs w:val="21"/>
              </w:rPr>
              <w:t>4.</w:t>
            </w:r>
            <w:r>
              <w:rPr>
                <w:rFonts w:ascii="Arial" w:hAnsi="Arial" w:eastAsia="宋体" w:cs="Arial"/>
                <w:b/>
                <w:bCs/>
                <w:kern w:val="0"/>
                <w:szCs w:val="21"/>
              </w:rPr>
              <w:t>付款</w:t>
            </w:r>
            <w:r>
              <w:rPr>
                <w:rFonts w:hint="eastAsia" w:ascii="Arial" w:hAnsi="Arial" w:eastAsia="宋体" w:cs="Arial"/>
                <w:b/>
                <w:bCs/>
                <w:kern w:val="0"/>
                <w:szCs w:val="21"/>
              </w:rPr>
              <w:t>要求</w:t>
            </w:r>
          </w:p>
          <w:p w14:paraId="5744B91E">
            <w:pPr>
              <w:widowControl/>
              <w:adjustRightInd w:val="0"/>
              <w:snapToGrid w:val="0"/>
              <w:spacing w:line="520" w:lineRule="exact"/>
              <w:rPr>
                <w:rFonts w:ascii="Arial" w:hAnsi="Arial" w:eastAsia="宋体" w:cs="Arial"/>
                <w:kern w:val="0"/>
                <w:szCs w:val="21"/>
              </w:rPr>
            </w:pPr>
            <w:r>
              <w:rPr>
                <w:rFonts w:ascii="Arial" w:hAnsi="Arial" w:eastAsia="宋体" w:cs="Arial"/>
                <w:kern w:val="0"/>
                <w:szCs w:val="21"/>
              </w:rPr>
              <w:t>本项目无预付款，合同中</w:t>
            </w:r>
            <w:r>
              <w:rPr>
                <w:rFonts w:hint="eastAsia" w:ascii="Arial" w:hAnsi="Arial" w:eastAsia="宋体" w:cs="Arial"/>
                <w:kern w:val="0"/>
                <w:szCs w:val="21"/>
              </w:rPr>
              <w:t>整体服务内容</w:t>
            </w:r>
            <w:r>
              <w:rPr>
                <w:rFonts w:ascii="Arial" w:hAnsi="Arial" w:eastAsia="宋体" w:cs="Arial"/>
                <w:kern w:val="0"/>
                <w:szCs w:val="21"/>
              </w:rPr>
              <w:t>验收合格交付给</w:t>
            </w:r>
            <w:r>
              <w:rPr>
                <w:rFonts w:hint="eastAsia" w:ascii="Arial" w:hAnsi="Arial" w:eastAsia="宋体" w:cs="Arial"/>
                <w:kern w:val="0"/>
                <w:szCs w:val="21"/>
              </w:rPr>
              <w:t>采购人</w:t>
            </w:r>
            <w:r>
              <w:rPr>
                <w:rFonts w:ascii="Arial" w:hAnsi="Arial" w:eastAsia="宋体" w:cs="Arial"/>
                <w:kern w:val="0"/>
                <w:szCs w:val="21"/>
              </w:rPr>
              <w:t>使用后，被选中的</w:t>
            </w:r>
            <w:r>
              <w:rPr>
                <w:rFonts w:hint="eastAsia" w:ascii="Arial" w:hAnsi="Arial" w:eastAsia="宋体" w:cs="Arial"/>
                <w:kern w:val="0"/>
                <w:szCs w:val="21"/>
              </w:rPr>
              <w:t>报价</w:t>
            </w:r>
            <w:r>
              <w:rPr>
                <w:rFonts w:ascii="Arial" w:hAnsi="Arial" w:eastAsia="宋体" w:cs="Arial"/>
                <w:kern w:val="0"/>
                <w:szCs w:val="21"/>
              </w:rPr>
              <w:t>人开具</w:t>
            </w:r>
            <w:r>
              <w:rPr>
                <w:rFonts w:hint="eastAsia" w:ascii="Arial" w:hAnsi="Arial" w:eastAsia="宋体" w:cs="Arial"/>
                <w:kern w:val="0"/>
                <w:szCs w:val="21"/>
              </w:rPr>
              <w:t>全额增值税专用发票</w:t>
            </w:r>
            <w:r>
              <w:rPr>
                <w:rFonts w:ascii="Arial" w:hAnsi="Arial" w:eastAsia="宋体" w:cs="Arial"/>
                <w:kern w:val="0"/>
                <w:szCs w:val="21"/>
              </w:rPr>
              <w:t>给</w:t>
            </w:r>
            <w:r>
              <w:rPr>
                <w:rFonts w:hint="eastAsia" w:ascii="Arial" w:hAnsi="Arial" w:eastAsia="宋体" w:cs="Arial"/>
                <w:kern w:val="0"/>
                <w:szCs w:val="21"/>
              </w:rPr>
              <w:t>采购人</w:t>
            </w:r>
            <w:r>
              <w:rPr>
                <w:rFonts w:ascii="Arial" w:hAnsi="Arial" w:eastAsia="宋体" w:cs="Arial"/>
                <w:kern w:val="0"/>
                <w:szCs w:val="21"/>
              </w:rPr>
              <w:t>，</w:t>
            </w:r>
            <w:r>
              <w:rPr>
                <w:rFonts w:hint="eastAsia" w:ascii="Arial" w:hAnsi="Arial" w:eastAsia="宋体" w:cs="Arial"/>
                <w:kern w:val="0"/>
                <w:szCs w:val="21"/>
              </w:rPr>
              <w:t>采购人</w:t>
            </w:r>
            <w:r>
              <w:rPr>
                <w:rFonts w:ascii="Arial" w:hAnsi="Arial" w:eastAsia="宋体" w:cs="Arial"/>
                <w:kern w:val="0"/>
                <w:szCs w:val="21"/>
              </w:rPr>
              <w:t>收到发票后</w:t>
            </w:r>
            <w:r>
              <w:rPr>
                <w:rFonts w:hint="eastAsia" w:ascii="Arial" w:hAnsi="Arial" w:eastAsia="宋体" w:cs="Arial"/>
                <w:b/>
                <w:kern w:val="0"/>
                <w:szCs w:val="21"/>
                <w:u w:val="single"/>
              </w:rPr>
              <w:t xml:space="preserve"> 20 </w:t>
            </w:r>
            <w:r>
              <w:rPr>
                <w:rFonts w:hint="eastAsia" w:ascii="Arial" w:hAnsi="Arial" w:eastAsia="宋体" w:cs="Arial"/>
                <w:kern w:val="0"/>
                <w:szCs w:val="21"/>
              </w:rPr>
              <w:t>个工作日</w:t>
            </w:r>
            <w:r>
              <w:rPr>
                <w:rFonts w:ascii="Arial" w:hAnsi="Arial" w:eastAsia="宋体" w:cs="Arial"/>
                <w:kern w:val="0"/>
                <w:szCs w:val="21"/>
              </w:rPr>
              <w:t>内</w:t>
            </w:r>
            <w:r>
              <w:rPr>
                <w:rFonts w:hint="eastAsia" w:ascii="Arial" w:hAnsi="Arial" w:eastAsia="宋体" w:cs="Arial"/>
                <w:kern w:val="0"/>
                <w:szCs w:val="21"/>
              </w:rPr>
              <w:t>办理</w:t>
            </w:r>
            <w:r>
              <w:rPr>
                <w:rFonts w:ascii="Arial" w:hAnsi="Arial" w:eastAsia="宋体" w:cs="Arial"/>
                <w:kern w:val="0"/>
                <w:szCs w:val="21"/>
              </w:rPr>
              <w:t>支付手续</w:t>
            </w:r>
            <w:r>
              <w:rPr>
                <w:rFonts w:cs="Arial" w:asciiTheme="majorEastAsia" w:hAnsiTheme="majorEastAsia" w:eastAsiaTheme="majorEastAsia"/>
                <w:kern w:val="0"/>
                <w:szCs w:val="21"/>
              </w:rPr>
              <w:t>。</w:t>
            </w:r>
            <w:r>
              <w:rPr>
                <w:rFonts w:hint="eastAsia" w:cs="Arial" w:asciiTheme="majorEastAsia" w:hAnsiTheme="majorEastAsia" w:eastAsiaTheme="majorEastAsia"/>
                <w:kern w:val="0"/>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协商。</w:t>
            </w:r>
          </w:p>
          <w:p w14:paraId="5DB9889A">
            <w:pPr>
              <w:widowControl/>
              <w:adjustRightInd w:val="0"/>
              <w:snapToGrid w:val="0"/>
              <w:spacing w:line="520" w:lineRule="exact"/>
              <w:rPr>
                <w:rFonts w:ascii="Arial" w:hAnsi="Arial" w:eastAsia="宋体" w:cs="Arial"/>
                <w:b/>
                <w:bCs/>
                <w:kern w:val="0"/>
                <w:szCs w:val="21"/>
              </w:rPr>
            </w:pPr>
            <w:r>
              <w:rPr>
                <w:rFonts w:hint="eastAsia" w:ascii="Arial" w:hAnsi="Arial" w:eastAsia="宋体" w:cs="Arial"/>
                <w:b/>
                <w:bCs/>
                <w:kern w:val="0"/>
                <w:szCs w:val="21"/>
              </w:rPr>
              <w:t>5.履约保证金</w:t>
            </w:r>
          </w:p>
          <w:p w14:paraId="13632D56">
            <w:pPr>
              <w:widowControl/>
              <w:adjustRightInd w:val="0"/>
              <w:snapToGrid w:val="0"/>
              <w:spacing w:line="520" w:lineRule="exact"/>
              <w:rPr>
                <w:rFonts w:ascii="Arial" w:hAnsi="Arial" w:eastAsia="宋体" w:cs="Arial"/>
                <w:kern w:val="0"/>
                <w:szCs w:val="21"/>
              </w:rPr>
            </w:pPr>
            <w:r>
              <w:rPr>
                <w:rFonts w:hint="eastAsia" w:ascii="Arial" w:hAnsi="Arial" w:eastAsia="宋体" w:cs="Arial"/>
                <w:kern w:val="0"/>
                <w:szCs w:val="21"/>
              </w:rPr>
              <w:t>合同签订前2日内，以银行转账、支票、汇票、本票或者银行、保险机构出具的保函、保险等非现金方式提交履约保证金。履约保证金金额按本项目合同金额的5%收取，履约保证金不足额缴纳的，或银行、保险机构出具的保函、保险额度不足的或者保函、保险有效期低于合同履行期限（即签订采购合同之日起至履行完合同约定的权利及义务之日止）的，不予签订合同。如报价人未能按合同约定履行合同，采购人有权没收全部履约保证金，并按合同相关条款追究其责任。采购人在验收合格交付使用之日起30日内退还履约保证金（不计息）。</w:t>
            </w:r>
          </w:p>
          <w:p w14:paraId="3FFF0472">
            <w:pPr>
              <w:widowControl/>
              <w:spacing w:line="480" w:lineRule="auto"/>
              <w:rPr>
                <w:rFonts w:ascii="Arial" w:hAnsi="Arial" w:eastAsia="宋体" w:cs="Arial"/>
                <w:bCs/>
                <w:kern w:val="0"/>
                <w:szCs w:val="21"/>
              </w:rPr>
            </w:pPr>
            <w:r>
              <w:rPr>
                <w:rFonts w:hint="eastAsia" w:ascii="Arial" w:hAnsi="Arial" w:eastAsia="宋体" w:cs="Arial"/>
                <w:bCs/>
                <w:kern w:val="0"/>
                <w:szCs w:val="21"/>
              </w:rPr>
              <w:t>履约保证金账户：</w:t>
            </w:r>
          </w:p>
          <w:p w14:paraId="2DAC0F56">
            <w:pPr>
              <w:pStyle w:val="7"/>
              <w:spacing w:line="360" w:lineRule="auto"/>
              <w:rPr>
                <w:rFonts w:ascii="Arial" w:hAnsi="Arial" w:eastAsia="宋体" w:cs="Arial"/>
                <w:bCs/>
                <w:kern w:val="0"/>
                <w:szCs w:val="21"/>
              </w:rPr>
            </w:pPr>
            <w:r>
              <w:rPr>
                <w:rFonts w:hint="eastAsia" w:ascii="Arial" w:hAnsi="Arial" w:eastAsia="宋体" w:cs="Arial"/>
                <w:bCs/>
                <w:kern w:val="0"/>
                <w:szCs w:val="21"/>
              </w:rPr>
              <w:t>名  称：柳州职业技术大学</w:t>
            </w:r>
          </w:p>
          <w:p w14:paraId="16CD551E">
            <w:pPr>
              <w:pStyle w:val="7"/>
              <w:spacing w:line="360" w:lineRule="auto"/>
              <w:rPr>
                <w:rFonts w:ascii="Arial" w:hAnsi="Arial" w:eastAsia="宋体" w:cs="Arial"/>
                <w:bCs/>
                <w:kern w:val="0"/>
                <w:szCs w:val="21"/>
              </w:rPr>
            </w:pPr>
            <w:r>
              <w:rPr>
                <w:rFonts w:hint="eastAsia" w:ascii="Arial" w:hAnsi="Arial" w:eastAsia="宋体" w:cs="Arial"/>
                <w:bCs/>
                <w:kern w:val="0"/>
                <w:szCs w:val="21"/>
              </w:rPr>
              <w:t>开户行：交通银行西江支行</w:t>
            </w:r>
          </w:p>
          <w:p w14:paraId="45AA78BC">
            <w:pPr>
              <w:pStyle w:val="7"/>
              <w:spacing w:line="360" w:lineRule="auto"/>
              <w:rPr>
                <w:rFonts w:ascii="Arial" w:hAnsi="Arial" w:eastAsia="宋体" w:cs="Arial"/>
                <w:bCs/>
                <w:kern w:val="0"/>
                <w:szCs w:val="21"/>
              </w:rPr>
            </w:pPr>
            <w:r>
              <w:rPr>
                <w:rFonts w:hint="eastAsia" w:ascii="Arial" w:hAnsi="Arial" w:eastAsia="宋体" w:cs="Arial"/>
                <w:bCs/>
                <w:kern w:val="0"/>
                <w:szCs w:val="21"/>
              </w:rPr>
              <w:t>账  号：</w:t>
            </w:r>
            <w:r>
              <w:rPr>
                <w:rFonts w:ascii="Arial" w:hAnsi="Arial" w:eastAsia="宋体" w:cs="Arial"/>
                <w:bCs/>
                <w:kern w:val="0"/>
                <w:szCs w:val="21"/>
              </w:rPr>
              <w:t>452060600018120020185</w:t>
            </w:r>
          </w:p>
          <w:p w14:paraId="4D5F73AF">
            <w:pPr>
              <w:pStyle w:val="7"/>
              <w:spacing w:line="360" w:lineRule="auto"/>
              <w:rPr>
                <w:rFonts w:cs="Times New Roman"/>
                <w:szCs w:val="21"/>
              </w:rPr>
            </w:pPr>
            <w:r>
              <w:rPr>
                <w:rFonts w:hint="eastAsia" w:ascii="Arial" w:hAnsi="Arial" w:eastAsia="宋体" w:cs="Arial"/>
                <w:bCs/>
                <w:kern w:val="0"/>
                <w:szCs w:val="21"/>
              </w:rPr>
              <w:t>转账时注明：2026年通识网络课程服务采购项目，采购编号</w:t>
            </w:r>
            <w:r>
              <w:rPr>
                <w:rFonts w:hint="eastAsia" w:ascii="Arial" w:hAnsi="Arial" w:eastAsia="宋体" w:cs="Arial"/>
                <w:b/>
                <w:color w:val="auto"/>
                <w:kern w:val="0"/>
                <w:szCs w:val="21"/>
              </w:rPr>
              <w:t>LZPU2026-</w:t>
            </w:r>
            <w:r>
              <w:rPr>
                <w:rFonts w:hint="eastAsia" w:ascii="Arial" w:hAnsi="Arial" w:eastAsia="宋体" w:cs="Arial"/>
                <w:b/>
                <w:color w:val="auto"/>
                <w:kern w:val="0"/>
                <w:szCs w:val="21"/>
                <w:lang w:val="en-US" w:eastAsia="zh-CN"/>
              </w:rPr>
              <w:t xml:space="preserve"> 34</w:t>
            </w:r>
            <w:r>
              <w:rPr>
                <w:rFonts w:hint="eastAsia" w:ascii="Arial" w:hAnsi="Arial" w:eastAsia="宋体" w:cs="Arial"/>
                <w:bCs/>
                <w:kern w:val="0"/>
                <w:szCs w:val="21"/>
              </w:rPr>
              <w:t xml:space="preserve"> 履约保证金</w:t>
            </w:r>
            <w:r>
              <w:rPr>
                <w:rFonts w:hint="eastAsia" w:ascii="Arial" w:hAnsi="Arial" w:eastAsia="宋体" w:cs="Arial"/>
                <w:kern w:val="0"/>
                <w:szCs w:val="21"/>
              </w:rPr>
              <w:t>电汇、转账的持银行回执复印件（非电汇、转账的出具其他保证金递交证明文件）、中标（成交）通知书（确认书）及合同到柳州职业技术大学签署合同。</w:t>
            </w:r>
          </w:p>
          <w:p w14:paraId="2DDE2794">
            <w:pPr>
              <w:pStyle w:val="7"/>
              <w:rPr>
                <w:rFonts w:cs="Times New Roman"/>
                <w:b/>
                <w:bCs/>
                <w:szCs w:val="21"/>
              </w:rPr>
            </w:pPr>
            <w:r>
              <w:rPr>
                <w:rFonts w:hint="eastAsia" w:cs="Times New Roman"/>
                <w:b/>
                <w:bCs/>
                <w:szCs w:val="21"/>
              </w:rPr>
              <w:t>5.验收要求</w:t>
            </w:r>
          </w:p>
          <w:p w14:paraId="4BAD99F4">
            <w:pPr>
              <w:pStyle w:val="7"/>
              <w:rPr>
                <w:rFonts w:cs="Times New Roman"/>
                <w:szCs w:val="21"/>
              </w:rPr>
            </w:pPr>
            <w:r>
              <w:rPr>
                <w:rFonts w:hint="eastAsia" w:cs="Times New Roman"/>
                <w:szCs w:val="21"/>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4EB01925">
            <w:pPr>
              <w:pStyle w:val="7"/>
              <w:rPr>
                <w:rFonts w:cs="Times New Roman"/>
                <w:szCs w:val="21"/>
              </w:rPr>
            </w:pPr>
            <w:r>
              <w:rPr>
                <w:rFonts w:hint="eastAsia" w:cs="Times New Roman"/>
                <w:szCs w:val="21"/>
              </w:rPr>
              <w:t>（2）中标供应商须确保货物为原制造商制造（或原厂组装）的全新产品，，无侵权行为、表面无划损、无任何缺陷隐患，在中国境内可依常规安全合法使用。</w:t>
            </w:r>
          </w:p>
          <w:p w14:paraId="60CCD47B">
            <w:pPr>
              <w:pStyle w:val="7"/>
              <w:rPr>
                <w:rFonts w:cs="Times New Roman"/>
                <w:szCs w:val="21"/>
              </w:rPr>
            </w:pPr>
            <w:r>
              <w:rPr>
                <w:rFonts w:hint="eastAsia" w:cs="Times New Roman"/>
                <w:szCs w:val="21"/>
              </w:rPr>
              <w:t>（3）供货时中标供应商应将关键货物的用户手册、保修手册、有关单证资料及配备件等交付给采购人，使用操作及安全须知等重要资料应附有中文说明。</w:t>
            </w:r>
          </w:p>
          <w:p w14:paraId="664FFCFE">
            <w:pPr>
              <w:pStyle w:val="7"/>
              <w:rPr>
                <w:rFonts w:cs="Times New Roman"/>
                <w:szCs w:val="21"/>
              </w:rPr>
            </w:pPr>
            <w:r>
              <w:rPr>
                <w:rFonts w:hint="eastAsia" w:cs="Times New Roman"/>
                <w:szCs w:val="21"/>
              </w:rPr>
              <w:t>（4）采购人组成验收小组按国家有关规定、规范进行验收，必要时邀请相关的专业人员或机构参与验收。验收时供应商必须有授权代表在场并在验收报告上签字，如正式验收时供应商授权代表未到场参加验收则视为供应商对验收过程及结果无异议。因货物质量问题发生争议时，由本地质量技术监督部门鉴定或委托具备资质的第三方机构鉴定。鉴定费（含运行产生全部费用）由中标供应商承担。</w:t>
            </w:r>
          </w:p>
          <w:p w14:paraId="1B307D53">
            <w:pPr>
              <w:snapToGrid w:val="0"/>
              <w:spacing w:line="276" w:lineRule="auto"/>
              <w:rPr>
                <w:rFonts w:ascii="宋体" w:hAnsi="宋体"/>
                <w:kern w:val="0"/>
              </w:rPr>
            </w:pPr>
            <w:r>
              <w:rPr>
                <w:rFonts w:hint="eastAsia" w:cs="Times New Roman"/>
                <w:szCs w:val="21"/>
              </w:rPr>
              <w:t>（5）</w:t>
            </w:r>
            <w:r>
              <w:rPr>
                <w:rFonts w:ascii="宋体" w:hAnsi="宋体"/>
                <w:kern w:val="0"/>
              </w:rPr>
              <w:t>供应商完成安装调试后，采购人可以进行累计运行时间不超过72小时的试运行，以确认所供货物（含硬件、软件及服务）功能参数、兼容性及稳定性符合标准达到初验条件，在试运行期间出现问题供应商应在接到采购人书面反馈后三日内解决，在解决问题前此项目仍视为尚未完成安装调试。如造成最终验收合格交付时间超过合同约定的按合同相关条款执行。</w:t>
            </w:r>
          </w:p>
          <w:p w14:paraId="052F7E2E">
            <w:pPr>
              <w:pStyle w:val="7"/>
              <w:rPr>
                <w:rFonts w:cs="Times New Roman"/>
                <w:szCs w:val="21"/>
              </w:rPr>
            </w:pPr>
            <w:r>
              <w:rPr>
                <w:rFonts w:hint="eastAsia" w:cs="Times New Roman"/>
                <w:szCs w:val="21"/>
              </w:rPr>
              <w:t>（6）采购人有权委托第三方进行履约验收，履约验收费用（含运行耗材、验收专家费等全部费用）由中标供应商支付。报价人在报价时自行考虑。</w:t>
            </w:r>
          </w:p>
          <w:p w14:paraId="1E713698">
            <w:pPr>
              <w:widowControl/>
              <w:rPr>
                <w:rFonts w:cs="Times New Roman"/>
                <w:color w:val="0000FF"/>
                <w:szCs w:val="21"/>
              </w:rPr>
            </w:pPr>
            <w:r>
              <w:rPr>
                <w:rFonts w:hint="eastAsia" w:cs="Times New Roman"/>
                <w:szCs w:val="21"/>
              </w:rPr>
              <w:t>（7）如果验收时中标供应商所提供设备达不到采购项目的技术需求，在整改期限20日内中标供应商仍无法提供满足项目技术要求的设备，采购人可以终止项目，中标供应商须承担相应违约责任。</w:t>
            </w:r>
          </w:p>
        </w:tc>
      </w:tr>
    </w:tbl>
    <w:p w14:paraId="521D3291">
      <w:pPr>
        <w:widowControl/>
        <w:adjustRightInd w:val="0"/>
        <w:snapToGrid w:val="0"/>
        <w:spacing w:line="520" w:lineRule="exact"/>
        <w:jc w:val="left"/>
        <w:rPr>
          <w:rFonts w:asciiTheme="majorEastAsia" w:hAnsiTheme="majorEastAsia" w:eastAsiaTheme="majorEastAsia" w:cstheme="majorEastAsia"/>
          <w:color w:val="000000"/>
          <w:kern w:val="0"/>
          <w:sz w:val="24"/>
          <w:szCs w:val="28"/>
        </w:rPr>
      </w:pPr>
      <w:r>
        <w:rPr>
          <w:rFonts w:hint="eastAsia" w:asciiTheme="majorEastAsia" w:hAnsiTheme="majorEastAsia" w:eastAsiaTheme="majorEastAsia" w:cstheme="majorEastAsia"/>
          <w:color w:val="000000"/>
          <w:kern w:val="0"/>
          <w:sz w:val="24"/>
          <w:szCs w:val="28"/>
        </w:rPr>
        <w:t>四、报价人须知：（以下要求报价报价人必须满足否则视为无效）</w:t>
      </w:r>
    </w:p>
    <w:p w14:paraId="09F0FED6">
      <w:pPr>
        <w:widowControl/>
        <w:adjustRightInd w:val="0"/>
        <w:snapToGrid w:val="0"/>
        <w:spacing w:line="520" w:lineRule="exact"/>
        <w:jc w:val="left"/>
        <w:rPr>
          <w:rFonts w:asciiTheme="majorEastAsia" w:hAnsiTheme="majorEastAsia" w:eastAsiaTheme="majorEastAsia" w:cstheme="majorEastAsia"/>
          <w:b/>
          <w:szCs w:val="28"/>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szCs w:val="28"/>
        </w:rPr>
        <w:t>资格证明文件</w:t>
      </w:r>
    </w:p>
    <w:p w14:paraId="7CB6D7B6">
      <w:pPr>
        <w:widowControl/>
        <w:adjustRightInd w:val="0"/>
        <w:snapToGrid w:val="0"/>
        <w:spacing w:line="520" w:lineRule="exact"/>
        <w:jc w:val="left"/>
        <w:rPr>
          <w:rFonts w:asciiTheme="majorEastAsia" w:hAnsiTheme="majorEastAsia" w:eastAsiaTheme="majorEastAsia" w:cstheme="majorEastAsia"/>
          <w:sz w:val="24"/>
          <w:szCs w:val="36"/>
        </w:rPr>
      </w:pPr>
      <w:r>
        <w:rPr>
          <w:rFonts w:hint="eastAsia" w:asciiTheme="majorEastAsia" w:hAnsiTheme="majorEastAsia" w:eastAsiaTheme="majorEastAsia" w:cstheme="majorEastAsia"/>
          <w:kern w:val="0"/>
          <w:sz w:val="24"/>
          <w:szCs w:val="28"/>
        </w:rPr>
        <w:t>（1）国内注册（指按国家工商管理有关规定要求注册的），具有合法的主体资格证明复印件（如营业执照、事业单位法人证书、个体工商户营业执照）的报价人；</w:t>
      </w:r>
      <w:r>
        <w:rPr>
          <w:rFonts w:hint="eastAsia" w:asciiTheme="majorEastAsia" w:hAnsiTheme="majorEastAsia" w:eastAsiaTheme="majorEastAsia" w:cstheme="majorEastAsia"/>
          <w:sz w:val="24"/>
          <w:szCs w:val="36"/>
        </w:rPr>
        <w:t>（</w:t>
      </w:r>
      <w:r>
        <w:rPr>
          <w:rFonts w:hint="eastAsia" w:asciiTheme="majorEastAsia" w:hAnsiTheme="majorEastAsia" w:eastAsiaTheme="majorEastAsia" w:cstheme="majorEastAsia"/>
          <w:b/>
          <w:sz w:val="24"/>
          <w:szCs w:val="36"/>
        </w:rPr>
        <w:t>必须提供，否则响应文件按无效响应处理</w:t>
      </w:r>
      <w:r>
        <w:rPr>
          <w:rFonts w:hint="eastAsia" w:asciiTheme="majorEastAsia" w:hAnsiTheme="majorEastAsia" w:eastAsiaTheme="majorEastAsia" w:cstheme="majorEastAsia"/>
          <w:sz w:val="24"/>
          <w:szCs w:val="36"/>
        </w:rPr>
        <w:t>）</w:t>
      </w:r>
    </w:p>
    <w:p w14:paraId="583DDA09">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sz w:val="24"/>
          <w:szCs w:val="24"/>
        </w:rPr>
        <w:t>（2）报价声明（格式后附）；（</w:t>
      </w:r>
      <w:r>
        <w:rPr>
          <w:rFonts w:hint="eastAsia" w:asciiTheme="majorEastAsia" w:hAnsiTheme="majorEastAsia" w:eastAsiaTheme="majorEastAsia" w:cstheme="majorEastAsia"/>
          <w:b/>
          <w:sz w:val="24"/>
          <w:szCs w:val="24"/>
        </w:rPr>
        <w:t>必须提供，否则响应文件按无效响应处理</w:t>
      </w:r>
      <w:r>
        <w:rPr>
          <w:rFonts w:hint="eastAsia" w:asciiTheme="majorEastAsia" w:hAnsiTheme="majorEastAsia" w:eastAsiaTheme="majorEastAsia" w:cstheme="majorEastAsia"/>
          <w:sz w:val="24"/>
          <w:szCs w:val="24"/>
        </w:rPr>
        <w:t>）</w:t>
      </w:r>
    </w:p>
    <w:p w14:paraId="65573B48">
      <w:pPr>
        <w:rPr>
          <w:rFonts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注：</w:t>
      </w:r>
    </w:p>
    <w:p w14:paraId="308189F8">
      <w:pPr>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1.以上标明“必须提供”的材料属于复印件的，必须加盖报价人公章，否则报价文件按无效响应处理。</w:t>
      </w:r>
    </w:p>
    <w:p w14:paraId="2EA606DC">
      <w:pPr>
        <w:rPr>
          <w:rFonts w:asciiTheme="majorEastAsia" w:hAnsiTheme="majorEastAsia" w:eastAsiaTheme="majorEastAsia" w:cstheme="majorEastAsia"/>
          <w:kern w:val="0"/>
        </w:rPr>
      </w:pPr>
      <w:r>
        <w:rPr>
          <w:rFonts w:hint="eastAsia" w:asciiTheme="majorEastAsia" w:hAnsiTheme="majorEastAsia" w:eastAsiaTheme="majorEastAsia" w:cstheme="majorEastAsia"/>
          <w:b/>
          <w:szCs w:val="21"/>
        </w:rPr>
        <w:t>2.报价人的报价声明必须由法定代表人或委托代理人在规定签章处签字并加盖报价人公章，否则响应文件按无效响应处理。</w:t>
      </w:r>
    </w:p>
    <w:p w14:paraId="1EC3DBD6">
      <w:pPr>
        <w:widowControl/>
        <w:adjustRightInd w:val="0"/>
        <w:snapToGrid w:val="0"/>
        <w:spacing w:line="520" w:lineRule="exact"/>
        <w:jc w:val="left"/>
        <w:rPr>
          <w:rFonts w:asciiTheme="majorEastAsia" w:hAnsiTheme="majorEastAsia" w:eastAsiaTheme="majorEastAsia" w:cstheme="majorEastAsia"/>
          <w:b/>
          <w:kern w:val="0"/>
          <w:sz w:val="22"/>
          <w:szCs w:val="24"/>
        </w:rPr>
      </w:pPr>
      <w:r>
        <w:rPr>
          <w:rFonts w:hint="eastAsia" w:asciiTheme="majorEastAsia" w:hAnsiTheme="majorEastAsia" w:eastAsiaTheme="majorEastAsia" w:cstheme="majorEastAsia"/>
          <w:kern w:val="0"/>
          <w:sz w:val="24"/>
          <w:szCs w:val="28"/>
        </w:rPr>
        <w:t>（3）</w:t>
      </w:r>
      <w:r>
        <w:rPr>
          <w:rFonts w:hint="eastAsia" w:asciiTheme="majorEastAsia" w:hAnsiTheme="majorEastAsia" w:eastAsiaTheme="majorEastAsia" w:cstheme="majorEastAsia"/>
          <w:b/>
          <w:kern w:val="0"/>
          <w:sz w:val="22"/>
          <w:szCs w:val="24"/>
        </w:rPr>
        <w:t xml:space="preserve">符合以下规定的条件： </w:t>
      </w:r>
    </w:p>
    <w:p w14:paraId="1BD5631C">
      <w:pPr>
        <w:widowControl/>
        <w:numPr>
          <w:ilvl w:val="0"/>
          <w:numId w:val="4"/>
        </w:numPr>
        <w:adjustRightInd w:val="0"/>
        <w:snapToGrid w:val="0"/>
        <w:spacing w:line="520" w:lineRule="exact"/>
        <w:jc w:val="left"/>
        <w:rPr>
          <w:rFonts w:asciiTheme="majorEastAsia" w:hAnsiTheme="majorEastAsia" w:eastAsiaTheme="majorEastAsia" w:cstheme="majorEastAsia"/>
          <w:b/>
          <w:kern w:val="0"/>
          <w:sz w:val="22"/>
          <w:szCs w:val="24"/>
        </w:rPr>
      </w:pPr>
      <w:r>
        <w:rPr>
          <w:rFonts w:hint="eastAsia" w:asciiTheme="majorEastAsia" w:hAnsiTheme="majorEastAsia" w:eastAsiaTheme="majorEastAsia" w:cstheme="majorEastAsia"/>
          <w:b/>
          <w:kern w:val="0"/>
          <w:sz w:val="22"/>
          <w:szCs w:val="24"/>
        </w:rPr>
        <w:t xml:space="preserve">具有独立承担民事责任的能力； </w:t>
      </w:r>
    </w:p>
    <w:p w14:paraId="62E27C7E">
      <w:pPr>
        <w:widowControl/>
        <w:numPr>
          <w:ilvl w:val="0"/>
          <w:numId w:val="4"/>
        </w:numPr>
        <w:adjustRightInd w:val="0"/>
        <w:snapToGrid w:val="0"/>
        <w:spacing w:line="520" w:lineRule="exact"/>
        <w:jc w:val="left"/>
        <w:rPr>
          <w:rFonts w:asciiTheme="majorEastAsia" w:hAnsiTheme="majorEastAsia" w:eastAsiaTheme="majorEastAsia" w:cstheme="majorEastAsia"/>
          <w:b/>
          <w:kern w:val="0"/>
          <w:sz w:val="22"/>
          <w:szCs w:val="24"/>
        </w:rPr>
      </w:pPr>
      <w:r>
        <w:rPr>
          <w:rFonts w:hint="eastAsia" w:asciiTheme="majorEastAsia" w:hAnsiTheme="majorEastAsia" w:eastAsiaTheme="majorEastAsia" w:cstheme="majorEastAsia"/>
          <w:b/>
          <w:kern w:val="0"/>
          <w:sz w:val="22"/>
          <w:szCs w:val="24"/>
        </w:rPr>
        <w:t xml:space="preserve">具有良好的商业信誉和健全的财务会计制度； </w:t>
      </w:r>
    </w:p>
    <w:p w14:paraId="35CBC04E">
      <w:pPr>
        <w:widowControl/>
        <w:numPr>
          <w:ilvl w:val="0"/>
          <w:numId w:val="4"/>
        </w:numPr>
        <w:adjustRightInd w:val="0"/>
        <w:snapToGrid w:val="0"/>
        <w:spacing w:line="520" w:lineRule="exact"/>
        <w:jc w:val="left"/>
        <w:rPr>
          <w:rFonts w:asciiTheme="majorEastAsia" w:hAnsiTheme="majorEastAsia" w:eastAsiaTheme="majorEastAsia" w:cstheme="majorEastAsia"/>
          <w:b/>
          <w:kern w:val="0"/>
          <w:sz w:val="22"/>
          <w:szCs w:val="24"/>
        </w:rPr>
      </w:pPr>
      <w:r>
        <w:rPr>
          <w:rFonts w:hint="eastAsia" w:asciiTheme="majorEastAsia" w:hAnsiTheme="majorEastAsia" w:eastAsiaTheme="majorEastAsia" w:cstheme="majorEastAsia"/>
          <w:b/>
          <w:kern w:val="0"/>
          <w:sz w:val="22"/>
          <w:szCs w:val="24"/>
        </w:rPr>
        <w:t xml:space="preserve">具有履行合同所必需的设备和专业技术能力； </w:t>
      </w:r>
    </w:p>
    <w:p w14:paraId="320CA08C">
      <w:pPr>
        <w:widowControl/>
        <w:numPr>
          <w:ilvl w:val="0"/>
          <w:numId w:val="4"/>
        </w:numPr>
        <w:adjustRightInd w:val="0"/>
        <w:snapToGrid w:val="0"/>
        <w:spacing w:line="520" w:lineRule="exact"/>
        <w:jc w:val="left"/>
        <w:rPr>
          <w:rFonts w:asciiTheme="majorEastAsia" w:hAnsiTheme="majorEastAsia" w:eastAsiaTheme="majorEastAsia" w:cstheme="majorEastAsia"/>
          <w:b/>
          <w:kern w:val="0"/>
          <w:sz w:val="22"/>
          <w:szCs w:val="24"/>
        </w:rPr>
      </w:pPr>
      <w:r>
        <w:rPr>
          <w:rFonts w:hint="eastAsia" w:asciiTheme="majorEastAsia" w:hAnsiTheme="majorEastAsia" w:eastAsiaTheme="majorEastAsia" w:cstheme="majorEastAsia"/>
          <w:b/>
          <w:kern w:val="0"/>
          <w:sz w:val="22"/>
          <w:szCs w:val="24"/>
        </w:rPr>
        <w:t xml:space="preserve">有依法缴纳税收和社会保障资金的良好记录； </w:t>
      </w:r>
    </w:p>
    <w:p w14:paraId="6677FB72">
      <w:pPr>
        <w:widowControl/>
        <w:numPr>
          <w:ilvl w:val="0"/>
          <w:numId w:val="4"/>
        </w:numPr>
        <w:adjustRightInd w:val="0"/>
        <w:snapToGrid w:val="0"/>
        <w:spacing w:line="520" w:lineRule="exact"/>
        <w:jc w:val="left"/>
        <w:rPr>
          <w:rFonts w:asciiTheme="majorEastAsia" w:hAnsiTheme="majorEastAsia" w:eastAsiaTheme="majorEastAsia" w:cstheme="majorEastAsia"/>
          <w:b/>
          <w:kern w:val="0"/>
          <w:sz w:val="22"/>
          <w:szCs w:val="24"/>
        </w:rPr>
      </w:pPr>
      <w:r>
        <w:rPr>
          <w:rFonts w:hint="eastAsia" w:asciiTheme="majorEastAsia" w:hAnsiTheme="majorEastAsia" w:eastAsiaTheme="majorEastAsia" w:cstheme="majorEastAsia"/>
          <w:b/>
          <w:kern w:val="0"/>
          <w:sz w:val="22"/>
          <w:szCs w:val="24"/>
        </w:rPr>
        <w:t xml:space="preserve">参加政府采购活动前三年内，在经营活动中没有重大违法记录； </w:t>
      </w:r>
    </w:p>
    <w:p w14:paraId="529AA131">
      <w:pPr>
        <w:widowControl/>
        <w:numPr>
          <w:ilvl w:val="0"/>
          <w:numId w:val="4"/>
        </w:numPr>
        <w:adjustRightInd w:val="0"/>
        <w:snapToGrid w:val="0"/>
        <w:spacing w:line="520" w:lineRule="exact"/>
        <w:jc w:val="left"/>
        <w:rPr>
          <w:rFonts w:asciiTheme="majorEastAsia" w:hAnsiTheme="majorEastAsia" w:eastAsiaTheme="majorEastAsia" w:cstheme="majorEastAsia"/>
          <w:b/>
          <w:kern w:val="0"/>
          <w:sz w:val="22"/>
          <w:szCs w:val="24"/>
        </w:rPr>
      </w:pPr>
      <w:r>
        <w:rPr>
          <w:rFonts w:hint="eastAsia" w:asciiTheme="majorEastAsia" w:hAnsiTheme="majorEastAsia" w:eastAsiaTheme="majorEastAsia" w:cstheme="majorEastAsia"/>
          <w:b/>
          <w:kern w:val="0"/>
          <w:sz w:val="22"/>
          <w:szCs w:val="24"/>
        </w:rPr>
        <w:t>未被列入失信被执行人、重大税收违法失信主体、政府采购严重违法失信行为记录名单；</w:t>
      </w:r>
    </w:p>
    <w:p w14:paraId="5AD11627">
      <w:pPr>
        <w:pStyle w:val="7"/>
        <w:numPr>
          <w:ilvl w:val="0"/>
          <w:numId w:val="4"/>
        </w:numPr>
        <w:rPr>
          <w:rFonts w:asciiTheme="majorEastAsia" w:hAnsiTheme="majorEastAsia" w:eastAsiaTheme="majorEastAsia" w:cstheme="majorEastAsia"/>
          <w:b/>
          <w:kern w:val="0"/>
          <w:sz w:val="22"/>
          <w:szCs w:val="24"/>
        </w:rPr>
      </w:pPr>
      <w:r>
        <w:rPr>
          <w:rFonts w:hint="eastAsia" w:asciiTheme="majorEastAsia" w:hAnsiTheme="majorEastAsia" w:eastAsiaTheme="majorEastAsia" w:cstheme="majorEastAsia"/>
          <w:b/>
          <w:kern w:val="0"/>
          <w:sz w:val="22"/>
          <w:szCs w:val="24"/>
        </w:rPr>
        <w:t>法律、行政法规规定的其他条件。</w:t>
      </w:r>
    </w:p>
    <w:p w14:paraId="57F7BD3F">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2.单位负责人为同一人或者存在控股、管理关系的不同报价人，不得参加同一合同项下的采购活动。</w:t>
      </w:r>
    </w:p>
    <w:p w14:paraId="29861CCC">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3.报价为最终报价，须包含货物及货物运抵指定交货地点的运输、装卸费用、售后服务、税金、验收检验及其它所有费用的总和。</w:t>
      </w:r>
      <w:r>
        <w:rPr>
          <w:rFonts w:hint="eastAsia" w:asciiTheme="majorEastAsia" w:hAnsiTheme="majorEastAsia" w:eastAsiaTheme="majorEastAsia" w:cstheme="majorEastAsia"/>
          <w:b/>
          <w:bCs/>
          <w:kern w:val="0"/>
          <w:sz w:val="24"/>
          <w:szCs w:val="28"/>
        </w:rPr>
        <w:t>报价超出采购预算金额的文件将被视为无效。</w:t>
      </w:r>
    </w:p>
    <w:p w14:paraId="0105B1C4">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sz w:val="24"/>
          <w:szCs w:val="24"/>
        </w:rPr>
        <w:t>由资格证明文件、报价商务技术文件两部分组成，详见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kern w:val="0"/>
          <w:sz w:val="24"/>
          <w:szCs w:val="24"/>
        </w:rPr>
        <w:t>包括但不限于本报价函（加盖报价商公章），报价人工商营业执照复印件、法定代表人身份证复印件、委托代理人身份证复印件（委托代理时提供）、法定代表人授权委托书（委托代理时提供）。</w:t>
      </w:r>
    </w:p>
    <w:p w14:paraId="4E9775CC">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5.报价文件递交</w:t>
      </w:r>
    </w:p>
    <w:p w14:paraId="1749A1C6">
      <w:pPr>
        <w:spacing w:line="360" w:lineRule="auto"/>
        <w:rPr>
          <w:rFonts w:asciiTheme="majorEastAsia" w:hAnsiTheme="majorEastAsia" w:eastAsiaTheme="majorEastAsia" w:cstheme="majorEastAsia"/>
          <w:b/>
          <w:bCs/>
          <w:sz w:val="24"/>
          <w:szCs w:val="24"/>
        </w:rPr>
      </w:pPr>
      <w:r>
        <w:rPr>
          <w:rFonts w:hint="eastAsia" w:asciiTheme="majorEastAsia" w:hAnsiTheme="majorEastAsia" w:eastAsiaTheme="majorEastAsia" w:cstheme="majorEastAsia"/>
          <w:sz w:val="24"/>
          <w:szCs w:val="24"/>
        </w:rPr>
        <w:t>（1）报价文件份数：</w:t>
      </w:r>
      <w:r>
        <w:rPr>
          <w:rFonts w:hint="eastAsia" w:asciiTheme="majorEastAsia" w:hAnsiTheme="majorEastAsia" w:eastAsiaTheme="majorEastAsia" w:cstheme="majorEastAsia"/>
          <w:kern w:val="0"/>
          <w:sz w:val="24"/>
          <w:szCs w:val="24"/>
        </w:rPr>
        <w:t>报价文件一式三份，</w:t>
      </w:r>
      <w:r>
        <w:rPr>
          <w:rFonts w:hint="eastAsia" w:asciiTheme="majorEastAsia" w:hAnsiTheme="majorEastAsia" w:eastAsiaTheme="majorEastAsia" w:cstheme="majorEastAsia"/>
          <w:b/>
          <w:bCs/>
          <w:sz w:val="24"/>
          <w:szCs w:val="24"/>
        </w:rPr>
        <w:t>正本一份、副本二份</w:t>
      </w:r>
    </w:p>
    <w:p w14:paraId="7286C781">
      <w:pPr>
        <w:widowControl/>
        <w:adjustRightInd w:val="0"/>
        <w:snapToGrid w:val="0"/>
        <w:spacing w:line="360" w:lineRule="auto"/>
        <w:jc w:val="left"/>
        <w:rPr>
          <w:rFonts w:asciiTheme="majorEastAsia" w:hAnsiTheme="majorEastAsia" w:eastAsiaTheme="majorEastAsia" w:cstheme="majorEastAsia"/>
          <w:spacing w:val="-6"/>
          <w:sz w:val="24"/>
          <w:szCs w:val="24"/>
        </w:rPr>
      </w:pPr>
      <w:r>
        <w:rPr>
          <w:rFonts w:hint="eastAsia" w:asciiTheme="majorEastAsia" w:hAnsiTheme="majorEastAsia" w:eastAsiaTheme="majorEastAsia" w:cstheme="majorEastAsia"/>
          <w:sz w:val="24"/>
          <w:szCs w:val="24"/>
        </w:rPr>
        <w:t>（2）报价人应按本文件规定的格式和顺序编制、装订报价文件并标注页码，报价文件内容</w:t>
      </w:r>
      <w:r>
        <w:rPr>
          <w:rFonts w:hint="eastAsia" w:asciiTheme="majorEastAsia" w:hAnsiTheme="majorEastAsia" w:eastAsiaTheme="majorEastAsia" w:cstheme="majorEastAsia"/>
          <w:spacing w:val="-6"/>
          <w:sz w:val="24"/>
          <w:szCs w:val="24"/>
        </w:rPr>
        <w:t>不完整、编排混乱导致被误读、漏读或者查找不到相关内容的，</w:t>
      </w:r>
      <w:r>
        <w:rPr>
          <w:rFonts w:hint="eastAsia" w:asciiTheme="majorEastAsia" w:hAnsiTheme="majorEastAsia" w:eastAsiaTheme="majorEastAsia" w:cstheme="majorEastAsia"/>
          <w:sz w:val="24"/>
          <w:szCs w:val="24"/>
        </w:rPr>
        <w:t>由此引发的</w:t>
      </w:r>
      <w:r>
        <w:rPr>
          <w:rFonts w:hint="eastAsia" w:asciiTheme="majorEastAsia" w:hAnsiTheme="majorEastAsia" w:eastAsiaTheme="majorEastAsia" w:cstheme="majorEastAsia"/>
          <w:spacing w:val="-6"/>
          <w:sz w:val="24"/>
          <w:szCs w:val="24"/>
        </w:rPr>
        <w:t>后果由</w:t>
      </w:r>
      <w:r>
        <w:rPr>
          <w:rFonts w:hint="eastAsia" w:asciiTheme="majorEastAsia" w:hAnsiTheme="majorEastAsia" w:eastAsiaTheme="majorEastAsia" w:cstheme="majorEastAsia"/>
          <w:sz w:val="24"/>
          <w:szCs w:val="24"/>
        </w:rPr>
        <w:t>报价人自行</w:t>
      </w:r>
      <w:r>
        <w:rPr>
          <w:rFonts w:hint="eastAsia" w:asciiTheme="majorEastAsia" w:hAnsiTheme="majorEastAsia" w:eastAsiaTheme="majorEastAsia" w:cstheme="majorEastAsia"/>
          <w:spacing w:val="-6"/>
          <w:sz w:val="24"/>
          <w:szCs w:val="24"/>
        </w:rPr>
        <w:t>承担。</w:t>
      </w:r>
    </w:p>
    <w:p w14:paraId="10E93A12">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pacing w:val="-6"/>
          <w:sz w:val="24"/>
          <w:szCs w:val="24"/>
        </w:rPr>
        <w:t>（3）</w:t>
      </w:r>
      <w:r>
        <w:rPr>
          <w:rFonts w:hint="eastAsia" w:asciiTheme="majorEastAsia" w:hAnsiTheme="majorEastAsia" w:eastAsiaTheme="majorEastAsia" w:cstheme="majorEastAsia"/>
          <w:sz w:val="24"/>
          <w:szCs w:val="24"/>
        </w:rPr>
        <w:t>报价文件的封面应注明“正本”、“副本”字样，提供报价文件正、副本数量不足的将按无效响应处理。由于报价文件装订松散而造成的丢失或其他情况导致的不利后果由报价人自行承担。</w:t>
      </w:r>
    </w:p>
    <w:p w14:paraId="1AC31C6E">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报价文件正、副本全部装入一个包封袋/箱中并加以密封，封口处必须加盖报价人公章或法定代表人签字或委托代理人签字，以示密封。报价文件外层包装封面上应标记“项目名称、项目编号（如有）、报价人名称、报价文件提交截止时间前不得启封”字样。未按规定密封的响应文件将被拒收。</w:t>
      </w:r>
    </w:p>
    <w:p w14:paraId="5C5840FA">
      <w:pPr>
        <w:pStyle w:val="40"/>
        <w:rPr>
          <w:rFonts w:asciiTheme="majorEastAsia" w:hAnsiTheme="majorEastAsia" w:eastAsiaTheme="majorEastAsia" w:cstheme="majorEastAsia"/>
          <w:b w:val="0"/>
          <w:bCs/>
          <w:sz w:val="24"/>
          <w:szCs w:val="24"/>
        </w:rPr>
      </w:pPr>
      <w:r>
        <w:rPr>
          <w:rFonts w:hint="eastAsia" w:asciiTheme="majorEastAsia" w:hAnsiTheme="majorEastAsia" w:eastAsiaTheme="majorEastAsia" w:cstheme="majorEastAsia"/>
          <w:b w:val="0"/>
          <w:bCs/>
          <w:spacing w:val="-6"/>
          <w:sz w:val="24"/>
          <w:szCs w:val="24"/>
        </w:rPr>
        <w:t>6.报价</w:t>
      </w:r>
      <w:r>
        <w:rPr>
          <w:rFonts w:hint="eastAsia" w:asciiTheme="majorEastAsia" w:hAnsiTheme="majorEastAsia" w:eastAsiaTheme="majorEastAsia" w:cstheme="majorEastAsia"/>
          <w:b w:val="0"/>
          <w:bCs/>
          <w:sz w:val="24"/>
          <w:szCs w:val="24"/>
        </w:rPr>
        <w:t>文件提交</w:t>
      </w:r>
    </w:p>
    <w:p w14:paraId="40C1A4F7">
      <w:pPr>
        <w:spacing w:line="480" w:lineRule="exact"/>
        <w:rPr>
          <w:rFonts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sz w:val="24"/>
          <w:szCs w:val="24"/>
        </w:rPr>
        <w:t>（1）报价文件提交起止时间：</w:t>
      </w:r>
      <w:r>
        <w:rPr>
          <w:rFonts w:hint="eastAsia" w:asciiTheme="majorEastAsia" w:hAnsiTheme="majorEastAsia" w:eastAsiaTheme="majorEastAsia" w:cstheme="majorEastAsia"/>
          <w:b/>
          <w:bCs/>
          <w:color w:val="auto"/>
          <w:sz w:val="24"/>
          <w:szCs w:val="24"/>
          <w:highlight w:val="none"/>
          <w:u w:val="single"/>
        </w:rPr>
        <w:t>2026年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8</w:t>
      </w:r>
      <w:r>
        <w:rPr>
          <w:rFonts w:hint="eastAsia" w:asciiTheme="majorEastAsia" w:hAnsiTheme="majorEastAsia" w:eastAsiaTheme="majorEastAsia" w:cstheme="majorEastAsia"/>
          <w:b/>
          <w:bCs/>
          <w:color w:val="auto"/>
          <w:sz w:val="24"/>
          <w:szCs w:val="24"/>
          <w:highlight w:val="none"/>
          <w:u w:val="single"/>
        </w:rPr>
        <w:t>日15时00分至15时30分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（2）文件提交地点：</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b/>
          <w:szCs w:val="21"/>
          <w:u w:val="single"/>
        </w:rPr>
        <w:t>注：报价人应当在报价文件提交截止时间前，将报价文件密封送达提交地点。在报价文件提交截止时间后送达的报价文件为无效文件，采购将拒收。</w:t>
      </w:r>
    </w:p>
    <w:p w14:paraId="5BA32957">
      <w:pPr>
        <w:widowControl/>
        <w:numPr>
          <w:ilvl w:val="0"/>
          <w:numId w:val="5"/>
        </w:numPr>
        <w:adjustRightInd w:val="0"/>
        <w:snapToGrid w:val="0"/>
        <w:spacing w:line="520" w:lineRule="exact"/>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凡对本次采购提出询问，请按以下方式联系</w:t>
      </w:r>
    </w:p>
    <w:p w14:paraId="567E4AB4">
      <w:pPr>
        <w:widowControl/>
        <w:adjustRightInd w:val="0"/>
        <w:snapToGrid w:val="0"/>
        <w:spacing w:line="520" w:lineRule="exact"/>
        <w:jc w:val="left"/>
        <w:rPr>
          <w:rFonts w:asciiTheme="majorEastAsia" w:hAnsiTheme="majorEastAsia" w:eastAsiaTheme="majorEastAsia" w:cstheme="majorEastAsia"/>
          <w:bCs/>
          <w:kern w:val="0"/>
          <w:sz w:val="24"/>
          <w:szCs w:val="28"/>
          <w:lang w:bidi="en-US"/>
        </w:rPr>
      </w:pPr>
      <w:r>
        <w:rPr>
          <w:rFonts w:hint="eastAsia" w:asciiTheme="majorEastAsia" w:hAnsiTheme="majorEastAsia" w:eastAsiaTheme="majorEastAsia" w:cstheme="majorEastAsia"/>
          <w:bCs/>
          <w:kern w:val="0"/>
          <w:sz w:val="24"/>
          <w:szCs w:val="28"/>
          <w:lang w:bidi="en-US"/>
        </w:rPr>
        <w:t>（1）技术及需求咨询联系人：</w:t>
      </w:r>
      <w:r>
        <w:rPr>
          <w:rFonts w:hint="eastAsia" w:asciiTheme="majorEastAsia" w:hAnsiTheme="majorEastAsia" w:eastAsiaTheme="majorEastAsia" w:cstheme="majorEastAsia"/>
          <w:bCs/>
          <w:kern w:val="0"/>
          <w:sz w:val="24"/>
          <w:szCs w:val="28"/>
          <w:lang w:val="en-US" w:eastAsia="zh-CN" w:bidi="en-US"/>
        </w:rPr>
        <w:t>谢老师</w:t>
      </w:r>
      <w:r>
        <w:rPr>
          <w:rFonts w:hint="eastAsia" w:asciiTheme="majorEastAsia" w:hAnsiTheme="majorEastAsia" w:eastAsiaTheme="majorEastAsia" w:cstheme="majorEastAsia"/>
          <w:bCs/>
          <w:kern w:val="0"/>
          <w:sz w:val="24"/>
          <w:szCs w:val="28"/>
          <w:lang w:bidi="en-US"/>
        </w:rPr>
        <w:t xml:space="preserve">     联系电话：</w:t>
      </w:r>
      <w:r>
        <w:rPr>
          <w:rFonts w:hint="eastAsia" w:asciiTheme="majorEastAsia" w:hAnsiTheme="majorEastAsia" w:eastAsiaTheme="majorEastAsia" w:cstheme="majorEastAsia"/>
          <w:bCs/>
          <w:kern w:val="0"/>
          <w:sz w:val="24"/>
          <w:szCs w:val="28"/>
          <w:lang w:val="en-US" w:eastAsia="zh-CN" w:bidi="en-US"/>
        </w:rPr>
        <w:t>13026920258</w:t>
      </w:r>
      <w:r>
        <w:rPr>
          <w:rFonts w:hint="eastAsia" w:asciiTheme="majorEastAsia" w:hAnsiTheme="majorEastAsia" w:eastAsiaTheme="majorEastAsia" w:cstheme="majorEastAsia"/>
          <w:bCs/>
          <w:kern w:val="0"/>
          <w:sz w:val="24"/>
          <w:szCs w:val="28"/>
          <w:lang w:bidi="en-US"/>
        </w:rPr>
        <w:t xml:space="preserve"> </w:t>
      </w:r>
    </w:p>
    <w:p w14:paraId="4966A16F">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 xml:space="preserve">（2）报价文件接收联系人：资产管理处办公室工作人员      联系电话：0772-3156307   </w:t>
      </w:r>
    </w:p>
    <w:p w14:paraId="0C265B17">
      <w:pPr>
        <w:widowControl/>
        <w:jc w:val="left"/>
        <w:rPr>
          <w:rFonts w:asciiTheme="majorEastAsia" w:hAnsiTheme="majorEastAsia" w:eastAsiaTheme="majorEastAsia" w:cstheme="majorEastAsia"/>
          <w:sz w:val="24"/>
          <w:szCs w:val="24"/>
        </w:rPr>
      </w:pPr>
    </w:p>
    <w:p w14:paraId="14AE9005">
      <w:pPr>
        <w:widowControl/>
        <w:ind w:firstLine="8794" w:firstLineChars="3650"/>
        <w:jc w:val="left"/>
        <w:rPr>
          <w:rFonts w:asciiTheme="majorEastAsia" w:hAnsiTheme="majorEastAsia" w:eastAsiaTheme="majorEastAsia" w:cstheme="majorEastAsia"/>
          <w:b/>
          <w:sz w:val="24"/>
          <w:szCs w:val="24"/>
        </w:rPr>
      </w:pPr>
      <w:r>
        <w:rPr>
          <w:rFonts w:hint="eastAsia" w:asciiTheme="majorEastAsia" w:hAnsiTheme="majorEastAsia" w:eastAsiaTheme="majorEastAsia" w:cstheme="majorEastAsia"/>
          <w:b/>
          <w:sz w:val="24"/>
          <w:szCs w:val="24"/>
        </w:rPr>
        <w:t>柳州职业技术大学</w:t>
      </w:r>
    </w:p>
    <w:p w14:paraId="25731739">
      <w:pPr>
        <w:widowControl/>
        <w:jc w:val="left"/>
        <w:rPr>
          <w:rFonts w:asciiTheme="majorEastAsia" w:hAnsiTheme="majorEastAsia" w:eastAsiaTheme="majorEastAsia" w:cstheme="majorEastAsia"/>
          <w:b/>
          <w:sz w:val="24"/>
          <w:szCs w:val="24"/>
        </w:rPr>
      </w:pPr>
      <w:r>
        <w:rPr>
          <w:rFonts w:hint="eastAsia" w:asciiTheme="majorEastAsia" w:hAnsiTheme="majorEastAsia" w:eastAsiaTheme="majorEastAsia" w:cstheme="majorEastAsia"/>
          <w:b/>
          <w:sz w:val="24"/>
          <w:szCs w:val="24"/>
        </w:rPr>
        <w:t xml:space="preserve">                                                                         2026年</w:t>
      </w:r>
      <w:r>
        <w:rPr>
          <w:rFonts w:hint="eastAsia" w:asciiTheme="majorEastAsia" w:hAnsiTheme="majorEastAsia" w:eastAsiaTheme="majorEastAsia" w:cstheme="majorEastAsia"/>
          <w:b/>
          <w:sz w:val="24"/>
          <w:szCs w:val="24"/>
          <w:lang w:val="en-US" w:eastAsia="zh-CN"/>
        </w:rPr>
        <w:t>9</w:t>
      </w:r>
      <w:r>
        <w:rPr>
          <w:rFonts w:hint="eastAsia" w:asciiTheme="majorEastAsia" w:hAnsiTheme="majorEastAsia" w:eastAsiaTheme="majorEastAsia" w:cstheme="majorEastAsia"/>
          <w:b/>
          <w:sz w:val="24"/>
          <w:szCs w:val="24"/>
        </w:rPr>
        <w:t>月</w:t>
      </w:r>
      <w:r>
        <w:rPr>
          <w:rFonts w:hint="eastAsia" w:asciiTheme="majorEastAsia" w:hAnsiTheme="majorEastAsia" w:eastAsiaTheme="majorEastAsia" w:cstheme="majorEastAsia"/>
          <w:b/>
          <w:sz w:val="24"/>
          <w:szCs w:val="24"/>
          <w:lang w:val="en-US" w:eastAsia="zh-CN"/>
        </w:rPr>
        <w:t>24</w:t>
      </w:r>
      <w:bookmarkStart w:id="52" w:name="_GoBack"/>
      <w:bookmarkEnd w:id="52"/>
      <w:r>
        <w:rPr>
          <w:rFonts w:hint="eastAsia" w:asciiTheme="majorEastAsia" w:hAnsiTheme="majorEastAsia" w:eastAsiaTheme="majorEastAsia" w:cstheme="majorEastAsia"/>
          <w:b/>
          <w:sz w:val="24"/>
          <w:szCs w:val="24"/>
        </w:rPr>
        <w:t>日</w:t>
      </w:r>
    </w:p>
    <w:p w14:paraId="23DDF101">
      <w:pPr>
        <w:pStyle w:val="8"/>
        <w:snapToGrid w:val="0"/>
        <w:spacing w:before="295" w:after="295" w:line="400" w:lineRule="exact"/>
        <w:rPr>
          <w:rFonts w:ascii="Arial" w:hAnsi="Arial" w:cs="Arial"/>
          <w:bCs/>
          <w:sz w:val="24"/>
          <w:szCs w:val="24"/>
        </w:rPr>
      </w:pPr>
    </w:p>
    <w:p w14:paraId="5B6E314F">
      <w:pPr>
        <w:pStyle w:val="7"/>
      </w:pPr>
    </w:p>
    <w:p w14:paraId="6B1C8817">
      <w:pPr>
        <w:pStyle w:val="7"/>
      </w:pPr>
    </w:p>
    <w:p w14:paraId="2671FF97">
      <w:pPr>
        <w:pStyle w:val="7"/>
      </w:pPr>
    </w:p>
    <w:p w14:paraId="70308011">
      <w:pPr>
        <w:pStyle w:val="7"/>
      </w:pPr>
    </w:p>
    <w:p w14:paraId="388F7ED9">
      <w:pPr>
        <w:pStyle w:val="7"/>
      </w:pPr>
    </w:p>
    <w:p w14:paraId="74C1ADD1">
      <w:pPr>
        <w:pStyle w:val="7"/>
      </w:pPr>
    </w:p>
    <w:p w14:paraId="139A7F60">
      <w:pPr>
        <w:pStyle w:val="7"/>
      </w:pPr>
    </w:p>
    <w:p w14:paraId="3121514C">
      <w:pPr>
        <w:pStyle w:val="7"/>
      </w:pPr>
    </w:p>
    <w:p w14:paraId="2E407467">
      <w:pPr>
        <w:pStyle w:val="7"/>
      </w:pPr>
    </w:p>
    <w:p w14:paraId="53F6B123">
      <w:pPr>
        <w:pStyle w:val="7"/>
      </w:pPr>
    </w:p>
    <w:p w14:paraId="0A7C4BD2">
      <w:pPr>
        <w:pStyle w:val="7"/>
      </w:pPr>
    </w:p>
    <w:p w14:paraId="4B771853">
      <w:pPr>
        <w:pStyle w:val="7"/>
      </w:pPr>
    </w:p>
    <w:p w14:paraId="6CEDDCCA">
      <w:pPr>
        <w:spacing w:line="360" w:lineRule="auto"/>
        <w:rPr>
          <w:rFonts w:asciiTheme="minorEastAsia" w:hAnsiTheme="minorEastAsia" w:cstheme="minorEastAsia"/>
          <w:sz w:val="22"/>
        </w:rPr>
      </w:pPr>
      <w:r>
        <w:rPr>
          <w:rFonts w:hint="eastAsia" w:asciiTheme="minorEastAsia" w:hAnsiTheme="minorEastAsia" w:cstheme="minorEastAsia"/>
          <w:b/>
          <w:sz w:val="28"/>
        </w:rPr>
        <w:t>评审办法和评分标准</w:t>
      </w:r>
    </w:p>
    <w:p w14:paraId="670FE8F3">
      <w:pPr>
        <w:pStyle w:val="7"/>
        <w:spacing w:line="360" w:lineRule="auto"/>
        <w:rPr>
          <w:rFonts w:asciiTheme="minorEastAsia" w:hAnsiTheme="minorEastAsia" w:cstheme="minorEastAsia"/>
        </w:rPr>
      </w:pPr>
      <w:r>
        <w:rPr>
          <w:rFonts w:hint="eastAsia" w:asciiTheme="minorEastAsia" w:hAnsiTheme="minorEastAsia" w:cstheme="minorEastAsia"/>
        </w:rPr>
        <w:t>一、评审原则</w:t>
      </w:r>
    </w:p>
    <w:p w14:paraId="608D587A">
      <w:pPr>
        <w:pStyle w:val="7"/>
        <w:spacing w:line="360" w:lineRule="auto"/>
        <w:rPr>
          <w:rFonts w:asciiTheme="minorEastAsia" w:hAnsiTheme="minorEastAsia" w:cstheme="minorEastAsia"/>
        </w:rPr>
      </w:pPr>
      <w:r>
        <w:rPr>
          <w:rFonts w:hint="eastAsia" w:asciiTheme="minorEastAsia" w:hAnsiTheme="minorEastAsia" w:cstheme="minorEastAsia"/>
        </w:rPr>
        <w:t>（一）评委构成：本项目的评委分别由依法组成的评审专家3人或以上单数构成。</w:t>
      </w:r>
    </w:p>
    <w:p w14:paraId="4583D83E">
      <w:pPr>
        <w:pStyle w:val="7"/>
        <w:spacing w:line="360" w:lineRule="auto"/>
        <w:rPr>
          <w:rFonts w:asciiTheme="minorEastAsia" w:hAnsiTheme="minorEastAsia" w:cstheme="minorEastAsia"/>
        </w:rPr>
      </w:pPr>
      <w:r>
        <w:rPr>
          <w:rFonts w:hint="eastAsia" w:asciiTheme="minorEastAsia" w:hAnsiTheme="minorEastAsia" w:cstheme="minorEastAsia"/>
        </w:rPr>
        <w:t>（二）评审依据：评委将以询价采购公告为评审依据，对</w:t>
      </w:r>
      <w:r>
        <w:rPr>
          <w:rFonts w:hint="eastAsia" w:asciiTheme="minorEastAsia" w:hAnsiTheme="minorEastAsia" w:cstheme="minorEastAsia"/>
          <w:lang w:eastAsia="zh-CN"/>
        </w:rPr>
        <w:t>供应商</w:t>
      </w:r>
      <w:r>
        <w:rPr>
          <w:rFonts w:hint="eastAsia" w:asciiTheme="minorEastAsia" w:hAnsiTheme="minorEastAsia" w:cstheme="minorEastAsia"/>
        </w:rPr>
        <w:t>的价格、</w:t>
      </w:r>
      <w:r>
        <w:rPr>
          <w:rFonts w:hint="eastAsia"/>
          <w:color w:val="auto"/>
          <w:highlight w:val="none"/>
          <w:lang w:val="en-US" w:eastAsia="zh-CN"/>
        </w:rPr>
        <w:t>实施方案</w:t>
      </w:r>
      <w:r>
        <w:rPr>
          <w:rFonts w:hint="eastAsia" w:asciiTheme="minorEastAsia" w:hAnsiTheme="minorEastAsia" w:cstheme="minorEastAsia"/>
        </w:rPr>
        <w:t>、</w:t>
      </w:r>
      <w:r>
        <w:rPr>
          <w:rFonts w:hint="eastAsia"/>
          <w:color w:val="auto"/>
          <w:highlight w:val="none"/>
          <w:lang w:val="en-US" w:eastAsia="zh-CN"/>
        </w:rPr>
        <w:t>售后服务承诺</w:t>
      </w:r>
      <w:r>
        <w:rPr>
          <w:rFonts w:hint="eastAsia" w:asciiTheme="minorEastAsia" w:hAnsiTheme="minorEastAsia" w:cstheme="minorEastAsia"/>
        </w:rPr>
        <w:t>、</w:t>
      </w:r>
      <w:r>
        <w:rPr>
          <w:rFonts w:hint="eastAsia"/>
          <w:color w:val="auto"/>
          <w:highlight w:val="none"/>
          <w:lang w:val="en-US" w:eastAsia="zh-CN"/>
        </w:rPr>
        <w:t>业绩</w:t>
      </w:r>
      <w:r>
        <w:rPr>
          <w:rFonts w:hint="eastAsia" w:asciiTheme="minorEastAsia" w:hAnsiTheme="minorEastAsia" w:cstheme="minorEastAsia"/>
        </w:rPr>
        <w:t>、</w:t>
      </w:r>
      <w:r>
        <w:rPr>
          <w:rFonts w:hint="eastAsia"/>
          <w:color w:val="auto"/>
          <w:highlight w:val="none"/>
          <w:lang w:val="en-US" w:eastAsia="zh-CN"/>
        </w:rPr>
        <w:t>履约能力</w:t>
      </w:r>
      <w:r>
        <w:rPr>
          <w:rFonts w:hint="eastAsia" w:asciiTheme="minorEastAsia" w:hAnsiTheme="minorEastAsia" w:cstheme="minorEastAsia"/>
        </w:rPr>
        <w:t>等5个方面内容按百分制打分。</w:t>
      </w:r>
    </w:p>
    <w:p w14:paraId="69673CC4">
      <w:pPr>
        <w:pStyle w:val="7"/>
        <w:spacing w:line="360" w:lineRule="auto"/>
        <w:rPr>
          <w:rFonts w:asciiTheme="minorEastAsia" w:hAnsiTheme="minorEastAsia" w:cstheme="minorEastAsia"/>
        </w:rPr>
      </w:pPr>
      <w:r>
        <w:rPr>
          <w:rFonts w:hint="eastAsia" w:asciiTheme="minorEastAsia" w:hAnsiTheme="minorEastAsia" w:cstheme="minorEastAsia"/>
        </w:rPr>
        <w:t>二、评定方法</w:t>
      </w:r>
    </w:p>
    <w:p w14:paraId="3ADA7600">
      <w:pPr>
        <w:pStyle w:val="7"/>
        <w:spacing w:line="360" w:lineRule="auto"/>
        <w:rPr>
          <w:rFonts w:asciiTheme="minorEastAsia" w:hAnsiTheme="minorEastAsia" w:cstheme="minorEastAsia"/>
        </w:rPr>
      </w:pPr>
      <w:r>
        <w:rPr>
          <w:rFonts w:hint="eastAsia" w:asciiTheme="minorEastAsia" w:hAnsiTheme="minorEastAsia" w:cstheme="minorEastAsia"/>
        </w:rPr>
        <w:t>（一）对进入详评的，采用百分制综合评分法。</w:t>
      </w:r>
    </w:p>
    <w:p w14:paraId="1F2AFFDE">
      <w:pPr>
        <w:pStyle w:val="7"/>
        <w:spacing w:line="360" w:lineRule="auto"/>
        <w:rPr>
          <w:rFonts w:hint="eastAsia" w:asciiTheme="minorEastAsia" w:hAnsiTheme="minorEastAsia" w:cstheme="minorEastAsia"/>
        </w:rPr>
      </w:pPr>
      <w:r>
        <w:rPr>
          <w:rFonts w:hint="eastAsia" w:asciiTheme="minorEastAsia" w:hAnsiTheme="minorEastAsia" w:cstheme="minorEastAsia"/>
        </w:rPr>
        <w:t>（二）计分办法</w:t>
      </w:r>
      <w:r>
        <w:rPr>
          <w:rFonts w:hint="eastAsia" w:asciiTheme="minorEastAsia" w:hAnsiTheme="minorEastAsia" w:cstheme="minorEastAsia"/>
          <w:lang w:eastAsia="zh-CN"/>
        </w:rPr>
        <w:t>（</w:t>
      </w:r>
      <w:r>
        <w:rPr>
          <w:rFonts w:hint="eastAsia" w:asciiTheme="minorEastAsia" w:hAnsiTheme="minorEastAsia" w:cstheme="minorEastAsia"/>
        </w:rPr>
        <w:t>按四舍五入取至百分位</w:t>
      </w:r>
      <w:r>
        <w:rPr>
          <w:rFonts w:hint="eastAsia" w:asciiTheme="minorEastAsia" w:hAnsiTheme="minorEastAsia" w:cstheme="minorEastAsia"/>
          <w:lang w:eastAsia="zh-CN"/>
        </w:rPr>
        <w:t>）</w:t>
      </w:r>
      <w:r>
        <w:rPr>
          <w:rFonts w:hint="eastAsia" w:asciiTheme="minorEastAsia" w:hAnsiTheme="minorEastAsia" w:cstheme="minorEastAsia"/>
        </w:rPr>
        <w:t>：</w:t>
      </w:r>
    </w:p>
    <w:tbl>
      <w:tblPr>
        <w:tblStyle w:val="18"/>
        <w:tblW w:w="47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1411"/>
        <w:gridCol w:w="1455"/>
        <w:gridCol w:w="6327"/>
        <w:gridCol w:w="985"/>
      </w:tblGrid>
      <w:tr w14:paraId="6AFE3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468" w:type="dxa"/>
            <w:gridSpan w:val="2"/>
            <w:tcBorders>
              <w:top w:val="single" w:color="auto" w:sz="4" w:space="0"/>
              <w:left w:val="single" w:color="auto" w:sz="4" w:space="0"/>
              <w:bottom w:val="single" w:color="auto" w:sz="4" w:space="0"/>
              <w:right w:val="single" w:color="auto" w:sz="4" w:space="0"/>
            </w:tcBorders>
            <w:noWrap w:val="0"/>
            <w:vAlign w:val="top"/>
          </w:tcPr>
          <w:p w14:paraId="3B46D943">
            <w:pPr>
              <w:bidi w:val="0"/>
              <w:jc w:val="both"/>
              <w:rPr>
                <w:b/>
                <w:bCs/>
                <w:color w:val="auto"/>
                <w:highlight w:val="none"/>
                <w:lang w:val="en-US"/>
              </w:rPr>
            </w:pPr>
            <w:r>
              <w:rPr>
                <w:rFonts w:hint="eastAsia"/>
                <w:b/>
                <w:bCs/>
                <w:color w:val="auto"/>
                <w:highlight w:val="none"/>
                <w:lang w:val="en-US" w:eastAsia="zh-CN"/>
              </w:rPr>
              <w:t>序号</w:t>
            </w:r>
          </w:p>
        </w:tc>
        <w:tc>
          <w:tcPr>
            <w:tcW w:w="1100" w:type="dxa"/>
            <w:tcBorders>
              <w:top w:val="single" w:color="auto" w:sz="4" w:space="0"/>
              <w:left w:val="single" w:color="auto" w:sz="4" w:space="0"/>
              <w:bottom w:val="single" w:color="auto" w:sz="4" w:space="0"/>
              <w:right w:val="single" w:color="auto" w:sz="4" w:space="0"/>
            </w:tcBorders>
            <w:noWrap w:val="0"/>
            <w:vAlign w:val="top"/>
          </w:tcPr>
          <w:p w14:paraId="737B04E3">
            <w:pPr>
              <w:bidi w:val="0"/>
              <w:jc w:val="both"/>
              <w:rPr>
                <w:b/>
                <w:bCs/>
                <w:color w:val="auto"/>
                <w:highlight w:val="none"/>
                <w:lang w:val="en-US"/>
              </w:rPr>
            </w:pPr>
            <w:r>
              <w:rPr>
                <w:rFonts w:hint="eastAsia"/>
                <w:b/>
                <w:bCs/>
                <w:color w:val="auto"/>
                <w:highlight w:val="none"/>
                <w:lang w:val="en-US" w:eastAsia="zh-CN"/>
              </w:rPr>
              <w:t>评审因素</w:t>
            </w:r>
          </w:p>
        </w:tc>
        <w:tc>
          <w:tcPr>
            <w:tcW w:w="4783" w:type="dxa"/>
            <w:tcBorders>
              <w:top w:val="single" w:color="auto" w:sz="4" w:space="0"/>
              <w:left w:val="single" w:color="auto" w:sz="4" w:space="0"/>
              <w:bottom w:val="single" w:color="auto" w:sz="4" w:space="0"/>
              <w:right w:val="single" w:color="auto" w:sz="4" w:space="0"/>
            </w:tcBorders>
            <w:noWrap w:val="0"/>
            <w:vAlign w:val="top"/>
          </w:tcPr>
          <w:p w14:paraId="2EDD4953">
            <w:pPr>
              <w:bidi w:val="0"/>
              <w:jc w:val="both"/>
              <w:rPr>
                <w:b/>
                <w:bCs/>
                <w:color w:val="auto"/>
                <w:highlight w:val="none"/>
                <w:lang w:val="en-US"/>
              </w:rPr>
            </w:pPr>
            <w:r>
              <w:rPr>
                <w:rFonts w:hint="eastAsia"/>
                <w:b/>
                <w:bCs/>
                <w:color w:val="auto"/>
                <w:highlight w:val="none"/>
                <w:lang w:val="en-US" w:eastAsia="zh-CN"/>
              </w:rPr>
              <w:t>评标标准</w:t>
            </w:r>
          </w:p>
        </w:tc>
        <w:tc>
          <w:tcPr>
            <w:tcW w:w="745" w:type="dxa"/>
            <w:tcBorders>
              <w:top w:val="single" w:color="auto" w:sz="4" w:space="0"/>
              <w:left w:val="single" w:color="auto" w:sz="4" w:space="0"/>
              <w:bottom w:val="single" w:color="auto" w:sz="4" w:space="0"/>
              <w:right w:val="single" w:color="auto" w:sz="4" w:space="0"/>
            </w:tcBorders>
            <w:noWrap w:val="0"/>
            <w:vAlign w:val="top"/>
          </w:tcPr>
          <w:p w14:paraId="3068FAFE">
            <w:pPr>
              <w:bidi w:val="0"/>
              <w:jc w:val="both"/>
              <w:rPr>
                <w:rFonts w:hint="default"/>
                <w:b/>
                <w:bCs/>
                <w:color w:val="auto"/>
                <w:highlight w:val="none"/>
                <w:lang w:val="en-US" w:eastAsia="zh-CN"/>
              </w:rPr>
            </w:pPr>
            <w:r>
              <w:rPr>
                <w:rFonts w:hint="eastAsia"/>
                <w:b/>
                <w:bCs/>
                <w:color w:val="auto"/>
                <w:highlight w:val="none"/>
                <w:lang w:val="en-US" w:eastAsia="zh-CN"/>
              </w:rPr>
              <w:t>分值</w:t>
            </w:r>
          </w:p>
        </w:tc>
      </w:tr>
      <w:tr w14:paraId="31FD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jc w:val="center"/>
        </w:trPr>
        <w:tc>
          <w:tcPr>
            <w:tcW w:w="401" w:type="dxa"/>
            <w:tcBorders>
              <w:top w:val="single" w:color="auto" w:sz="4" w:space="0"/>
              <w:left w:val="single" w:color="auto" w:sz="4" w:space="0"/>
              <w:bottom w:val="single" w:color="auto" w:sz="4" w:space="0"/>
              <w:right w:val="single" w:color="auto" w:sz="4" w:space="0"/>
            </w:tcBorders>
            <w:noWrap w:val="0"/>
            <w:vAlign w:val="top"/>
          </w:tcPr>
          <w:p w14:paraId="2B7E9B57">
            <w:pPr>
              <w:bidi w:val="0"/>
              <w:jc w:val="both"/>
              <w:rPr>
                <w:color w:val="auto"/>
                <w:highlight w:val="none"/>
                <w:lang w:val="en-US"/>
              </w:rPr>
            </w:pPr>
            <w:r>
              <w:rPr>
                <w:rFonts w:hint="eastAsia"/>
                <w:color w:val="auto"/>
                <w:highlight w:val="none"/>
                <w:lang w:val="en-US" w:eastAsia="zh-CN"/>
              </w:rPr>
              <w:t>1</w:t>
            </w:r>
          </w:p>
        </w:tc>
        <w:tc>
          <w:tcPr>
            <w:tcW w:w="1067" w:type="dxa"/>
            <w:tcBorders>
              <w:top w:val="single" w:color="auto" w:sz="4" w:space="0"/>
              <w:left w:val="single" w:color="auto" w:sz="4" w:space="0"/>
              <w:bottom w:val="single" w:color="auto" w:sz="4" w:space="0"/>
              <w:right w:val="single" w:color="auto" w:sz="4" w:space="0"/>
            </w:tcBorders>
            <w:noWrap w:val="0"/>
            <w:vAlign w:val="top"/>
          </w:tcPr>
          <w:p w14:paraId="28EDAFDB">
            <w:pPr>
              <w:bidi w:val="0"/>
              <w:jc w:val="both"/>
              <w:rPr>
                <w:color w:val="auto"/>
                <w:highlight w:val="none"/>
                <w:lang w:val="en-US"/>
              </w:rPr>
            </w:pPr>
            <w:r>
              <w:rPr>
                <w:rFonts w:hint="eastAsia"/>
                <w:color w:val="auto"/>
                <w:highlight w:val="none"/>
                <w:lang w:val="en-US" w:eastAsia="zh-CN"/>
              </w:rPr>
              <w:t>价格分</w:t>
            </w:r>
          </w:p>
          <w:p w14:paraId="133B83B2">
            <w:pPr>
              <w:bidi w:val="0"/>
              <w:jc w:val="both"/>
              <w:rPr>
                <w:color w:val="auto"/>
                <w:highlight w:val="none"/>
                <w:lang w:val="en-US"/>
              </w:rPr>
            </w:pPr>
            <w:r>
              <w:rPr>
                <w:rFonts w:hint="eastAsia"/>
                <w:color w:val="auto"/>
                <w:highlight w:val="none"/>
                <w:lang w:val="en-US" w:eastAsia="zh-CN"/>
              </w:rPr>
              <w:t>（满分30分）</w:t>
            </w:r>
          </w:p>
        </w:tc>
        <w:tc>
          <w:tcPr>
            <w:tcW w:w="1100" w:type="dxa"/>
            <w:tcBorders>
              <w:top w:val="single" w:color="auto" w:sz="4" w:space="0"/>
              <w:left w:val="single" w:color="auto" w:sz="4" w:space="0"/>
              <w:bottom w:val="single" w:color="auto" w:sz="4" w:space="0"/>
              <w:right w:val="single" w:color="auto" w:sz="4" w:space="0"/>
            </w:tcBorders>
            <w:noWrap w:val="0"/>
            <w:vAlign w:val="top"/>
          </w:tcPr>
          <w:p w14:paraId="612862EC">
            <w:pPr>
              <w:bidi w:val="0"/>
              <w:jc w:val="both"/>
              <w:rPr>
                <w:rFonts w:hint="default"/>
                <w:color w:val="auto"/>
                <w:highlight w:val="none"/>
                <w:lang w:val="en-US"/>
              </w:rPr>
            </w:pPr>
            <w:r>
              <w:rPr>
                <w:rFonts w:hint="eastAsia"/>
                <w:color w:val="auto"/>
                <w:highlight w:val="none"/>
                <w:lang w:val="en-US" w:eastAsia="zh-CN"/>
              </w:rPr>
              <w:t>价格</w:t>
            </w:r>
          </w:p>
        </w:tc>
        <w:tc>
          <w:tcPr>
            <w:tcW w:w="4783" w:type="dxa"/>
            <w:tcBorders>
              <w:top w:val="single" w:color="auto" w:sz="4" w:space="0"/>
              <w:left w:val="single" w:color="auto" w:sz="4" w:space="0"/>
              <w:bottom w:val="single" w:color="auto" w:sz="4" w:space="0"/>
              <w:right w:val="single" w:color="auto" w:sz="4" w:space="0"/>
            </w:tcBorders>
            <w:noWrap w:val="0"/>
            <w:vAlign w:val="top"/>
          </w:tcPr>
          <w:p w14:paraId="10D79B40">
            <w:pPr>
              <w:pStyle w:val="17"/>
              <w:bidi w:val="0"/>
              <w:jc w:val="both"/>
              <w:rPr>
                <w:rFonts w:hint="eastAsia"/>
                <w:color w:val="auto"/>
                <w:highlight w:val="none"/>
                <w:lang w:val="en-US" w:eastAsia="zh-CN"/>
              </w:rPr>
            </w:pPr>
            <w:r>
              <w:rPr>
                <w:rFonts w:hint="eastAsia"/>
                <w:color w:val="auto"/>
                <w:highlight w:val="none"/>
                <w:lang w:val="en-US" w:eastAsia="zh-CN"/>
              </w:rPr>
              <w:t>满足报价文件要求且评标报价最低的评标报价为评标基准价，其价格分为满分；</w:t>
            </w:r>
          </w:p>
          <w:p w14:paraId="2258D5EB">
            <w:pPr>
              <w:pStyle w:val="17"/>
              <w:bidi w:val="0"/>
              <w:ind w:left="0" w:leftChars="0" w:firstLine="0" w:firstLineChars="0"/>
              <w:jc w:val="both"/>
              <w:rPr>
                <w:rFonts w:hint="eastAsia"/>
                <w:color w:val="auto"/>
                <w:highlight w:val="none"/>
                <w:lang w:val="en-US" w:eastAsia="zh-CN"/>
              </w:rPr>
            </w:pPr>
            <w:r>
              <w:rPr>
                <w:rFonts w:hint="eastAsia"/>
                <w:color w:val="auto"/>
                <w:highlight w:val="none"/>
                <w:lang w:val="en-US" w:eastAsia="zh-CN"/>
              </w:rPr>
              <w:t>价格分计算公式：</w:t>
            </w:r>
          </w:p>
          <w:p w14:paraId="2F068663">
            <w:pPr>
              <w:pStyle w:val="17"/>
              <w:bidi w:val="0"/>
              <w:jc w:val="both"/>
              <w:rPr>
                <w:color w:val="auto"/>
                <w:highlight w:val="none"/>
                <w:lang w:val="en-US"/>
              </w:rPr>
            </w:pPr>
            <w:r>
              <w:rPr>
                <w:rFonts w:hint="eastAsia"/>
                <w:color w:val="auto"/>
                <w:highlight w:val="none"/>
                <w:lang w:val="en-US" w:eastAsia="zh-CN"/>
              </w:rPr>
              <w:t>价格分=（评标基准价／评标报价）×30分。</w:t>
            </w:r>
          </w:p>
        </w:tc>
        <w:tc>
          <w:tcPr>
            <w:tcW w:w="745" w:type="dxa"/>
            <w:tcBorders>
              <w:top w:val="single" w:color="auto" w:sz="4" w:space="0"/>
              <w:left w:val="single" w:color="auto" w:sz="4" w:space="0"/>
              <w:bottom w:val="single" w:color="auto" w:sz="4" w:space="0"/>
              <w:right w:val="single" w:color="auto" w:sz="4" w:space="0"/>
            </w:tcBorders>
            <w:noWrap w:val="0"/>
            <w:vAlign w:val="top"/>
          </w:tcPr>
          <w:p w14:paraId="20E24F1B">
            <w:pPr>
              <w:pStyle w:val="17"/>
              <w:bidi w:val="0"/>
              <w:ind w:left="0" w:leftChars="0" w:firstLine="0" w:firstLineChars="0"/>
              <w:jc w:val="both"/>
              <w:rPr>
                <w:rFonts w:hint="default"/>
                <w:color w:val="auto"/>
                <w:highlight w:val="none"/>
                <w:lang w:val="en-US" w:eastAsia="zh-CN"/>
              </w:rPr>
            </w:pPr>
            <w:r>
              <w:rPr>
                <w:rFonts w:hint="eastAsia"/>
                <w:color w:val="auto"/>
                <w:highlight w:val="none"/>
                <w:lang w:val="en-US" w:eastAsia="zh-CN"/>
              </w:rPr>
              <w:t>30分</w:t>
            </w:r>
          </w:p>
        </w:tc>
      </w:tr>
      <w:tr w14:paraId="5DC3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401" w:type="dxa"/>
            <w:vMerge w:val="restart"/>
            <w:tcBorders>
              <w:top w:val="single" w:color="auto" w:sz="4" w:space="0"/>
              <w:left w:val="single" w:color="auto" w:sz="4" w:space="0"/>
              <w:right w:val="single" w:color="auto" w:sz="4" w:space="0"/>
            </w:tcBorders>
            <w:noWrap w:val="0"/>
            <w:vAlign w:val="top"/>
          </w:tcPr>
          <w:p w14:paraId="331FC6EF">
            <w:pPr>
              <w:bidi w:val="0"/>
              <w:jc w:val="both"/>
              <w:rPr>
                <w:color w:val="auto"/>
                <w:highlight w:val="none"/>
                <w:lang w:val="en-US"/>
              </w:rPr>
            </w:pPr>
            <w:r>
              <w:rPr>
                <w:rFonts w:hint="eastAsia"/>
                <w:color w:val="auto"/>
                <w:highlight w:val="none"/>
                <w:lang w:val="en-US" w:eastAsia="zh-CN"/>
              </w:rPr>
              <w:t>2</w:t>
            </w:r>
          </w:p>
        </w:tc>
        <w:tc>
          <w:tcPr>
            <w:tcW w:w="1067" w:type="dxa"/>
            <w:vMerge w:val="restart"/>
            <w:tcBorders>
              <w:top w:val="single" w:color="auto" w:sz="4" w:space="0"/>
              <w:left w:val="single" w:color="auto" w:sz="4" w:space="0"/>
              <w:right w:val="single" w:color="auto" w:sz="4" w:space="0"/>
            </w:tcBorders>
            <w:noWrap w:val="0"/>
            <w:vAlign w:val="top"/>
          </w:tcPr>
          <w:p w14:paraId="47EC10E1">
            <w:pPr>
              <w:bidi w:val="0"/>
              <w:jc w:val="both"/>
              <w:rPr>
                <w:color w:val="auto"/>
                <w:highlight w:val="none"/>
                <w:lang w:val="en-US"/>
              </w:rPr>
            </w:pPr>
            <w:r>
              <w:rPr>
                <w:rFonts w:hint="eastAsia"/>
                <w:color w:val="auto"/>
                <w:highlight w:val="none"/>
                <w:lang w:val="en-US" w:eastAsia="zh-CN"/>
              </w:rPr>
              <w:t>技术分</w:t>
            </w:r>
          </w:p>
          <w:p w14:paraId="289D038C">
            <w:pPr>
              <w:bidi w:val="0"/>
              <w:jc w:val="both"/>
              <w:rPr>
                <w:color w:val="auto"/>
                <w:highlight w:val="none"/>
                <w:lang w:val="en-US"/>
              </w:rPr>
            </w:pPr>
            <w:r>
              <w:rPr>
                <w:rFonts w:hint="eastAsia"/>
                <w:color w:val="auto"/>
                <w:highlight w:val="none"/>
                <w:lang w:val="en-US" w:eastAsia="zh-CN"/>
              </w:rPr>
              <w:t>（满分55分）</w:t>
            </w:r>
          </w:p>
        </w:tc>
        <w:tc>
          <w:tcPr>
            <w:tcW w:w="110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top"/>
          </w:tcPr>
          <w:p w14:paraId="3A6716F3">
            <w:pPr>
              <w:bidi w:val="0"/>
              <w:jc w:val="both"/>
              <w:rPr>
                <w:color w:val="auto"/>
                <w:highlight w:val="none"/>
                <w:lang w:val="en-US"/>
              </w:rPr>
            </w:pPr>
            <w:r>
              <w:rPr>
                <w:rFonts w:hint="eastAsia"/>
                <w:color w:val="auto"/>
                <w:highlight w:val="none"/>
                <w:lang w:val="en-US" w:eastAsia="zh-CN"/>
              </w:rPr>
              <w:t>实施方案（满分25分）</w:t>
            </w:r>
          </w:p>
        </w:tc>
        <w:tc>
          <w:tcPr>
            <w:tcW w:w="4783" w:type="dxa"/>
            <w:tcBorders>
              <w:top w:val="single" w:color="auto" w:sz="4" w:space="0"/>
              <w:left w:val="single" w:color="auto" w:sz="4" w:space="0"/>
              <w:bottom w:val="single" w:color="auto" w:sz="4" w:space="0"/>
              <w:right w:val="single" w:color="auto" w:sz="4" w:space="0"/>
            </w:tcBorders>
            <w:noWrap w:val="0"/>
            <w:vAlign w:val="top"/>
          </w:tcPr>
          <w:p w14:paraId="11F06D87">
            <w:pPr>
              <w:pStyle w:val="17"/>
              <w:keepNext w:val="0"/>
              <w:keepLines w:val="0"/>
              <w:pageBreakBefore w:val="0"/>
              <w:widowControl w:val="0"/>
              <w:kinsoku/>
              <w:wordWrap/>
              <w:overflowPunct/>
              <w:topLinePunct w:val="0"/>
              <w:autoSpaceDE/>
              <w:autoSpaceDN/>
              <w:bidi w:val="0"/>
              <w:adjustRightInd/>
              <w:snapToGrid/>
              <w:ind w:left="0" w:leftChars="0" w:firstLine="420" w:firstLineChars="200"/>
              <w:jc w:val="both"/>
              <w:textAlignment w:val="auto"/>
              <w:rPr>
                <w:rFonts w:hint="eastAsia" w:ascii="宋体" w:hAnsi="宋体" w:cs="仿宋_GB2312"/>
                <w:b w:val="0"/>
                <w:bCs w:val="0"/>
                <w:color w:val="auto"/>
                <w:szCs w:val="21"/>
              </w:rPr>
            </w:pPr>
            <w:r>
              <w:rPr>
                <w:rFonts w:hint="eastAsia" w:ascii="宋体" w:hAnsi="宋体" w:cs="仿宋_GB2312"/>
                <w:b w:val="0"/>
                <w:bCs w:val="0"/>
                <w:color w:val="auto"/>
                <w:szCs w:val="21"/>
                <w:lang w:val="en-US" w:eastAsia="zh-CN"/>
              </w:rPr>
              <w:t>1.</w:t>
            </w:r>
            <w:r>
              <w:rPr>
                <w:rFonts w:hint="eastAsia" w:ascii="宋体" w:hAnsi="宋体" w:cs="仿宋_GB2312"/>
                <w:b w:val="0"/>
                <w:bCs w:val="0"/>
                <w:color w:val="auto"/>
                <w:szCs w:val="21"/>
              </w:rPr>
              <w:t>人员配置（8分）：拟投入实施人员≥5人，得8分；拟投入实施人员≥3人，得5分；拟投入实施人员≥2人，得2分；少于2人、未提供社保证明或提供内容与本项目无关的，不得分。</w:t>
            </w:r>
          </w:p>
          <w:p w14:paraId="33EBDAFE">
            <w:pPr>
              <w:pStyle w:val="17"/>
              <w:keepNext w:val="0"/>
              <w:keepLines w:val="0"/>
              <w:pageBreakBefore w:val="0"/>
              <w:widowControl w:val="0"/>
              <w:kinsoku/>
              <w:wordWrap/>
              <w:overflowPunct/>
              <w:topLinePunct w:val="0"/>
              <w:autoSpaceDE/>
              <w:autoSpaceDN/>
              <w:bidi w:val="0"/>
              <w:adjustRightInd/>
              <w:snapToGrid/>
              <w:ind w:left="0" w:leftChars="0" w:firstLine="420" w:firstLineChars="200"/>
              <w:jc w:val="both"/>
              <w:textAlignment w:val="auto"/>
              <w:rPr>
                <w:rFonts w:hint="eastAsia" w:ascii="宋体" w:hAnsi="宋体" w:cs="仿宋_GB2312"/>
                <w:b w:val="0"/>
                <w:bCs w:val="0"/>
                <w:color w:val="auto"/>
                <w:szCs w:val="21"/>
              </w:rPr>
            </w:pPr>
            <w:r>
              <w:rPr>
                <w:rFonts w:hint="eastAsia" w:ascii="宋体" w:hAnsi="宋体" w:cs="仿宋_GB2312"/>
                <w:b w:val="0"/>
                <w:bCs w:val="0"/>
                <w:color w:val="auto"/>
                <w:szCs w:val="21"/>
                <w:lang w:val="en-US" w:eastAsia="zh-CN"/>
              </w:rPr>
              <w:t>2.</w:t>
            </w:r>
            <w:r>
              <w:rPr>
                <w:rFonts w:hint="eastAsia" w:ascii="宋体" w:hAnsi="宋体" w:cs="仿宋_GB2312"/>
                <w:b w:val="0"/>
                <w:bCs w:val="0"/>
                <w:color w:val="auto"/>
                <w:szCs w:val="21"/>
              </w:rPr>
              <w:t>进度与交付（7分）：承诺自合同签订之日起20日内验收合格并交付使用，得7分；承诺25日内验收合格并交付使用，得4分；承诺30日内验收合格并交付使用，得2分；超过30日或未承诺的，按无效响应处理。</w:t>
            </w:r>
          </w:p>
          <w:p w14:paraId="0415876B">
            <w:pPr>
              <w:pStyle w:val="17"/>
              <w:keepNext w:val="0"/>
              <w:keepLines w:val="0"/>
              <w:pageBreakBefore w:val="0"/>
              <w:widowControl w:val="0"/>
              <w:kinsoku/>
              <w:wordWrap/>
              <w:overflowPunct/>
              <w:topLinePunct w:val="0"/>
              <w:autoSpaceDE/>
              <w:autoSpaceDN/>
              <w:bidi w:val="0"/>
              <w:adjustRightInd/>
              <w:snapToGrid/>
              <w:ind w:left="0" w:leftChars="0" w:firstLine="420" w:firstLineChars="200"/>
              <w:jc w:val="both"/>
              <w:textAlignment w:val="auto"/>
              <w:rPr>
                <w:rFonts w:hint="eastAsia" w:ascii="宋体" w:hAnsi="宋体" w:cs="仿宋_GB2312"/>
                <w:b w:val="0"/>
                <w:bCs w:val="0"/>
                <w:color w:val="auto"/>
                <w:szCs w:val="21"/>
              </w:rPr>
            </w:pPr>
            <w:r>
              <w:rPr>
                <w:rFonts w:hint="eastAsia" w:ascii="宋体" w:hAnsi="宋体" w:cs="仿宋_GB2312"/>
                <w:b w:val="0"/>
                <w:bCs w:val="0"/>
                <w:color w:val="auto"/>
                <w:szCs w:val="21"/>
                <w:lang w:val="en-US" w:eastAsia="zh-CN"/>
              </w:rPr>
              <w:t>3.</w:t>
            </w:r>
            <w:r>
              <w:rPr>
                <w:rFonts w:hint="eastAsia" w:ascii="宋体" w:hAnsi="宋体" w:cs="仿宋_GB2312"/>
                <w:b w:val="0"/>
                <w:bCs w:val="0"/>
                <w:color w:val="auto"/>
                <w:szCs w:val="21"/>
              </w:rPr>
              <w:t>方案要素完整性（10分）：实施方案包含以下要素，每提供一项且与本项目相关得1分，最高10分：①组织架构图；②安装调试方案；③验收方案；④安全保密管理措施；⑤项目管理制度；⑥应急保障措施；⑦实施进度表；⑧人员分工表；⑨质量保障措施；⑩与采购人统一身份认证平台、教务管理系统数据对接方案。缺项或内容与本项目无关的不得分。</w:t>
            </w:r>
          </w:p>
          <w:p w14:paraId="5D3CE95B">
            <w:pPr>
              <w:pStyle w:val="17"/>
              <w:bidi w:val="0"/>
              <w:jc w:val="both"/>
              <w:rPr>
                <w:rFonts w:hint="default" w:ascii="宋体" w:hAnsi="宋体" w:cs="仿宋_GB2312"/>
                <w:b/>
                <w:bCs/>
                <w:szCs w:val="21"/>
                <w:lang w:val="en-US" w:eastAsia="zh-CN"/>
              </w:rPr>
            </w:pPr>
            <w:r>
              <w:rPr>
                <w:rFonts w:hint="eastAsia" w:ascii="宋体" w:hAnsi="宋体" w:cs="仿宋_GB2312"/>
                <w:b/>
                <w:bCs/>
                <w:szCs w:val="21"/>
              </w:rPr>
              <w:t>注：</w:t>
            </w:r>
            <w:r>
              <w:rPr>
                <w:rFonts w:hint="eastAsia" w:ascii="宋体" w:hAnsi="宋体" w:cs="仿宋_GB2312"/>
                <w:b/>
                <w:bCs/>
                <w:szCs w:val="21"/>
                <w:lang w:eastAsia="zh-CN"/>
              </w:rPr>
              <w:t>供应商</w:t>
            </w:r>
            <w:r>
              <w:rPr>
                <w:rFonts w:hint="eastAsia" w:ascii="宋体" w:hAnsi="宋体" w:cs="仿宋_GB2312"/>
                <w:b/>
                <w:bCs/>
                <w:szCs w:val="21"/>
              </w:rPr>
              <w:t>需提供实施人员截止报价之日前一个月起算3个月在报价单位依法缴纳社保费的有效证明复印件并加盖公章，未提供方案或提供的内容与本项目无关的不得分。</w:t>
            </w:r>
          </w:p>
        </w:tc>
        <w:tc>
          <w:tcPr>
            <w:tcW w:w="745" w:type="dxa"/>
            <w:tcBorders>
              <w:top w:val="single" w:color="auto" w:sz="4" w:space="0"/>
              <w:left w:val="single" w:color="auto" w:sz="4" w:space="0"/>
              <w:bottom w:val="single" w:color="auto" w:sz="4" w:space="0"/>
              <w:right w:val="single" w:color="auto" w:sz="4" w:space="0"/>
            </w:tcBorders>
            <w:noWrap w:val="0"/>
            <w:vAlign w:val="top"/>
          </w:tcPr>
          <w:p w14:paraId="032967CD">
            <w:pPr>
              <w:pStyle w:val="17"/>
              <w:bidi w:val="0"/>
              <w:ind w:left="0" w:leftChars="0" w:firstLine="0" w:firstLineChars="0"/>
              <w:jc w:val="both"/>
              <w:rPr>
                <w:rFonts w:hint="eastAsia" w:ascii="宋体" w:hAnsi="宋体" w:cs="宋体"/>
                <w:color w:val="000000"/>
                <w:szCs w:val="21"/>
                <w:highlight w:val="none"/>
                <w:lang w:val="en-US" w:eastAsia="zh-CN"/>
              </w:rPr>
            </w:pPr>
            <w:r>
              <w:rPr>
                <w:rFonts w:hint="eastAsia" w:ascii="宋体" w:hAnsi="宋体" w:cs="宋体"/>
                <w:b/>
                <w:bCs/>
                <w:szCs w:val="21"/>
                <w:lang w:val="en-US" w:eastAsia="zh-CN"/>
              </w:rPr>
              <w:t>25分</w:t>
            </w:r>
          </w:p>
        </w:tc>
      </w:tr>
      <w:tr w14:paraId="3B54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401" w:type="dxa"/>
            <w:vMerge w:val="continue"/>
            <w:tcBorders>
              <w:left w:val="single" w:color="auto" w:sz="4" w:space="0"/>
              <w:right w:val="single" w:color="auto" w:sz="4" w:space="0"/>
            </w:tcBorders>
            <w:noWrap w:val="0"/>
            <w:vAlign w:val="top"/>
          </w:tcPr>
          <w:p w14:paraId="2DF46CB7">
            <w:pPr>
              <w:bidi w:val="0"/>
              <w:jc w:val="both"/>
              <w:rPr>
                <w:rFonts w:hint="default"/>
                <w:color w:val="auto"/>
                <w:highlight w:val="none"/>
              </w:rPr>
            </w:pPr>
          </w:p>
        </w:tc>
        <w:tc>
          <w:tcPr>
            <w:tcW w:w="1067" w:type="dxa"/>
            <w:vMerge w:val="continue"/>
            <w:tcBorders>
              <w:left w:val="single" w:color="auto" w:sz="4" w:space="0"/>
              <w:right w:val="single" w:color="auto" w:sz="4" w:space="0"/>
            </w:tcBorders>
            <w:noWrap w:val="0"/>
            <w:vAlign w:val="top"/>
          </w:tcPr>
          <w:p w14:paraId="5277F60D">
            <w:pPr>
              <w:bidi w:val="0"/>
              <w:jc w:val="both"/>
              <w:rPr>
                <w:rFonts w:hint="default"/>
                <w:color w:val="auto"/>
                <w:highlight w:val="none"/>
              </w:rPr>
            </w:pPr>
          </w:p>
        </w:tc>
        <w:tc>
          <w:tcPr>
            <w:tcW w:w="1100" w:type="dxa"/>
            <w:tcBorders>
              <w:top w:val="single" w:color="auto" w:sz="4" w:space="0"/>
              <w:left w:val="single" w:color="auto" w:sz="4" w:space="0"/>
              <w:bottom w:val="single" w:color="auto" w:sz="4" w:space="0"/>
              <w:right w:val="single" w:color="auto" w:sz="4" w:space="0"/>
            </w:tcBorders>
            <w:shd w:val="clear" w:color="auto" w:fill="auto"/>
            <w:noWrap w:val="0"/>
            <w:tcMar>
              <w:left w:w="57" w:type="dxa"/>
              <w:right w:w="57" w:type="dxa"/>
            </w:tcMar>
            <w:vAlign w:val="top"/>
          </w:tcPr>
          <w:p w14:paraId="15F77F2E">
            <w:pPr>
              <w:bidi w:val="0"/>
              <w:jc w:val="both"/>
              <w:rPr>
                <w:color w:val="auto"/>
                <w:highlight w:val="none"/>
                <w:lang w:val="en-US"/>
              </w:rPr>
            </w:pPr>
            <w:r>
              <w:rPr>
                <w:rFonts w:hint="eastAsia"/>
                <w:color w:val="auto"/>
                <w:highlight w:val="none"/>
                <w:lang w:val="en-US" w:eastAsia="zh-CN"/>
              </w:rPr>
              <w:t>售后服务承诺（满分30分）</w:t>
            </w:r>
          </w:p>
        </w:tc>
        <w:tc>
          <w:tcPr>
            <w:tcW w:w="4783"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F27B4F7">
            <w:pPr>
              <w:pStyle w:val="17"/>
              <w:keepNext w:val="0"/>
              <w:keepLines w:val="0"/>
              <w:pageBreakBefore w:val="0"/>
              <w:widowControl w:val="0"/>
              <w:kinsoku/>
              <w:wordWrap/>
              <w:overflowPunct/>
              <w:topLinePunct w:val="0"/>
              <w:autoSpaceDE/>
              <w:autoSpaceDN/>
              <w:bidi w:val="0"/>
              <w:adjustRightInd/>
              <w:snapToGrid/>
              <w:ind w:left="0" w:leftChars="0"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aps w:val="0"/>
                <w:color w:val="auto"/>
                <w:spacing w:val="0"/>
                <w:sz w:val="21"/>
                <w:szCs w:val="21"/>
                <w:shd w:val="clear" w:fill="FFFFFF"/>
              </w:rPr>
              <w:t>1</w:t>
            </w:r>
            <w:r>
              <w:rPr>
                <w:rFonts w:hint="eastAsia" w:ascii="宋体" w:hAnsi="宋体" w:eastAsia="宋体" w:cs="宋体"/>
                <w:i w:val="0"/>
                <w:iCs w:val="0"/>
                <w:caps w:val="0"/>
                <w:color w:val="auto"/>
                <w:spacing w:val="0"/>
                <w:sz w:val="21"/>
                <w:szCs w:val="21"/>
                <w:shd w:val="clear" w:fill="FFFFFF"/>
                <w:lang w:val="en-US" w:eastAsia="zh-CN"/>
              </w:rPr>
              <w:t>.</w:t>
            </w:r>
            <w:r>
              <w:rPr>
                <w:rFonts w:hint="eastAsia" w:ascii="宋体" w:hAnsi="宋体" w:eastAsia="宋体" w:cs="宋体"/>
                <w:i w:val="0"/>
                <w:iCs w:val="0"/>
                <w:caps w:val="0"/>
                <w:color w:val="auto"/>
                <w:spacing w:val="0"/>
                <w:sz w:val="21"/>
                <w:szCs w:val="21"/>
                <w:shd w:val="clear" w:fill="FFFFFF"/>
              </w:rPr>
              <w:t>故障解决方案（</w:t>
            </w:r>
            <w:r>
              <w:rPr>
                <w:rFonts w:hint="eastAsia" w:ascii="宋体" w:hAnsi="宋体" w:eastAsia="宋体" w:cs="宋体"/>
                <w:i w:val="0"/>
                <w:iCs w:val="0"/>
                <w:caps w:val="0"/>
                <w:color w:val="auto"/>
                <w:spacing w:val="0"/>
                <w:sz w:val="21"/>
                <w:szCs w:val="21"/>
                <w:shd w:val="clear" w:fill="FFFFFF"/>
                <w:lang w:val="en-US" w:eastAsia="zh-CN"/>
              </w:rPr>
              <w:t>8</w:t>
            </w:r>
            <w:r>
              <w:rPr>
                <w:rFonts w:hint="eastAsia" w:ascii="宋体" w:hAnsi="宋体" w:eastAsia="宋体" w:cs="宋体"/>
                <w:i w:val="0"/>
                <w:iCs w:val="0"/>
                <w:caps w:val="0"/>
                <w:color w:val="auto"/>
                <w:spacing w:val="0"/>
                <w:sz w:val="21"/>
                <w:szCs w:val="21"/>
                <w:shd w:val="clear" w:fill="FFFFFF"/>
              </w:rPr>
              <w:t>分）：提供故障分级标准，承诺一般故障30分钟内响应、2小时内解决，重大故障2小时内响应、24小时内解决得</w:t>
            </w:r>
            <w:r>
              <w:rPr>
                <w:rFonts w:hint="eastAsia" w:ascii="宋体" w:hAnsi="宋体" w:eastAsia="宋体" w:cs="宋体"/>
                <w:i w:val="0"/>
                <w:iCs w:val="0"/>
                <w:caps w:val="0"/>
                <w:color w:val="auto"/>
                <w:spacing w:val="0"/>
                <w:sz w:val="21"/>
                <w:szCs w:val="21"/>
                <w:shd w:val="clear" w:fill="FFFFFF"/>
                <w:lang w:val="en-US" w:eastAsia="zh-CN"/>
              </w:rPr>
              <w:t>8</w:t>
            </w:r>
            <w:r>
              <w:rPr>
                <w:rFonts w:hint="eastAsia" w:ascii="宋体" w:hAnsi="宋体" w:eastAsia="宋体" w:cs="宋体"/>
                <w:i w:val="0"/>
                <w:iCs w:val="0"/>
                <w:caps w:val="0"/>
                <w:color w:val="auto"/>
                <w:spacing w:val="0"/>
                <w:sz w:val="21"/>
                <w:szCs w:val="21"/>
                <w:shd w:val="clear" w:fill="FFFFFF"/>
              </w:rPr>
              <w:t>分；一般故障1小时内响应、4小时内解决，重大故障4小时内响应、48小时内解决得</w:t>
            </w:r>
            <w:r>
              <w:rPr>
                <w:rFonts w:hint="eastAsia" w:ascii="宋体" w:hAnsi="宋体" w:eastAsia="宋体" w:cs="宋体"/>
                <w:i w:val="0"/>
                <w:iCs w:val="0"/>
                <w:caps w:val="0"/>
                <w:color w:val="auto"/>
                <w:spacing w:val="0"/>
                <w:sz w:val="21"/>
                <w:szCs w:val="21"/>
                <w:shd w:val="clear" w:fill="FFFFFF"/>
                <w:lang w:val="en-US" w:eastAsia="zh-CN"/>
              </w:rPr>
              <w:t>5</w:t>
            </w:r>
            <w:r>
              <w:rPr>
                <w:rFonts w:hint="eastAsia" w:ascii="宋体" w:hAnsi="宋体" w:eastAsia="宋体" w:cs="宋体"/>
                <w:i w:val="0"/>
                <w:iCs w:val="0"/>
                <w:caps w:val="0"/>
                <w:color w:val="auto"/>
                <w:spacing w:val="0"/>
                <w:sz w:val="21"/>
                <w:szCs w:val="21"/>
                <w:shd w:val="clear" w:fill="FFFFFF"/>
              </w:rPr>
              <w:t>分；提供基本故障处理流程得</w:t>
            </w:r>
            <w:r>
              <w:rPr>
                <w:rFonts w:hint="eastAsia" w:ascii="宋体" w:hAnsi="宋体" w:eastAsia="宋体" w:cs="宋体"/>
                <w:i w:val="0"/>
                <w:iCs w:val="0"/>
                <w:caps w:val="0"/>
                <w:color w:val="auto"/>
                <w:spacing w:val="0"/>
                <w:sz w:val="21"/>
                <w:szCs w:val="21"/>
                <w:shd w:val="clear" w:fill="FFFFFF"/>
                <w:lang w:val="en-US" w:eastAsia="zh-CN"/>
              </w:rPr>
              <w:t>3</w:t>
            </w:r>
            <w:r>
              <w:rPr>
                <w:rFonts w:hint="eastAsia" w:ascii="宋体" w:hAnsi="宋体" w:eastAsia="宋体" w:cs="宋体"/>
                <w:i w:val="0"/>
                <w:iCs w:val="0"/>
                <w:caps w:val="0"/>
                <w:color w:val="auto"/>
                <w:spacing w:val="0"/>
                <w:sz w:val="21"/>
                <w:szCs w:val="21"/>
                <w:shd w:val="clear" w:fill="FFFFFF"/>
              </w:rPr>
              <w:t>分；未提供不得分。</w:t>
            </w:r>
            <w:r>
              <w:rPr>
                <w:rFonts w:hint="eastAsia" w:ascii="宋体" w:hAnsi="宋体" w:eastAsia="宋体" w:cs="宋体"/>
                <w:i w:val="0"/>
                <w:iCs w:val="0"/>
                <w:caps w:val="0"/>
                <w:color w:val="auto"/>
                <w:spacing w:val="0"/>
                <w:sz w:val="21"/>
                <w:szCs w:val="21"/>
                <w:shd w:val="clear" w:fill="FFFFFF"/>
              </w:rPr>
              <w:br w:type="textWrapping"/>
            </w:r>
            <w:r>
              <w:rPr>
                <w:rFonts w:hint="eastAsia" w:ascii="宋体" w:hAnsi="宋体" w:eastAsia="宋体" w:cs="宋体"/>
                <w:i w:val="0"/>
                <w:iCs w:val="0"/>
                <w:caps w:val="0"/>
                <w:color w:val="auto"/>
                <w:spacing w:val="0"/>
                <w:sz w:val="21"/>
                <w:szCs w:val="21"/>
                <w:shd w:val="clear" w:fill="FFFFFF"/>
                <w:lang w:val="en-US" w:eastAsia="zh-CN"/>
              </w:rPr>
              <w:t xml:space="preserve">    2.</w:t>
            </w:r>
            <w:r>
              <w:rPr>
                <w:rFonts w:hint="eastAsia" w:ascii="宋体" w:hAnsi="宋体" w:eastAsia="宋体" w:cs="宋体"/>
                <w:i w:val="0"/>
                <w:iCs w:val="0"/>
                <w:caps w:val="0"/>
                <w:color w:val="auto"/>
                <w:spacing w:val="0"/>
                <w:sz w:val="21"/>
                <w:szCs w:val="21"/>
                <w:shd w:val="clear" w:fill="FFFFFF"/>
              </w:rPr>
              <w:t>技术培训方案（</w:t>
            </w:r>
            <w:r>
              <w:rPr>
                <w:rFonts w:hint="eastAsia" w:ascii="宋体" w:hAnsi="宋体" w:eastAsia="宋体" w:cs="宋体"/>
                <w:i w:val="0"/>
                <w:iCs w:val="0"/>
                <w:caps w:val="0"/>
                <w:color w:val="auto"/>
                <w:spacing w:val="0"/>
                <w:sz w:val="21"/>
                <w:szCs w:val="21"/>
                <w:shd w:val="clear" w:fill="FFFFFF"/>
                <w:lang w:val="en-US" w:eastAsia="zh-CN"/>
              </w:rPr>
              <w:t>5</w:t>
            </w:r>
            <w:r>
              <w:rPr>
                <w:rFonts w:hint="eastAsia" w:ascii="宋体" w:hAnsi="宋体" w:eastAsia="宋体" w:cs="宋体"/>
                <w:i w:val="0"/>
                <w:iCs w:val="0"/>
                <w:caps w:val="0"/>
                <w:color w:val="auto"/>
                <w:spacing w:val="0"/>
                <w:sz w:val="21"/>
                <w:szCs w:val="21"/>
                <w:shd w:val="clear" w:fill="FFFFFF"/>
              </w:rPr>
              <w:t>分）：承诺服务期间上门培训≥</w:t>
            </w:r>
            <w:r>
              <w:rPr>
                <w:rFonts w:hint="eastAsia" w:ascii="宋体" w:hAnsi="宋体" w:eastAsia="宋体" w:cs="宋体"/>
                <w:i w:val="0"/>
                <w:iCs w:val="0"/>
                <w:caps w:val="0"/>
                <w:color w:val="auto"/>
                <w:spacing w:val="0"/>
                <w:sz w:val="21"/>
                <w:szCs w:val="21"/>
                <w:shd w:val="clear" w:fill="FFFFFF"/>
                <w:lang w:val="en-US" w:eastAsia="zh-CN"/>
              </w:rPr>
              <w:t>3</w:t>
            </w:r>
            <w:r>
              <w:rPr>
                <w:rFonts w:hint="eastAsia" w:ascii="宋体" w:hAnsi="宋体" w:eastAsia="宋体" w:cs="宋体"/>
                <w:i w:val="0"/>
                <w:iCs w:val="0"/>
                <w:caps w:val="0"/>
                <w:color w:val="auto"/>
                <w:spacing w:val="0"/>
                <w:sz w:val="21"/>
                <w:szCs w:val="21"/>
                <w:shd w:val="clear" w:fill="FFFFFF"/>
              </w:rPr>
              <w:t>次得</w:t>
            </w:r>
            <w:r>
              <w:rPr>
                <w:rFonts w:hint="eastAsia" w:ascii="宋体" w:hAnsi="宋体" w:eastAsia="宋体" w:cs="宋体"/>
                <w:i w:val="0"/>
                <w:iCs w:val="0"/>
                <w:caps w:val="0"/>
                <w:color w:val="auto"/>
                <w:spacing w:val="0"/>
                <w:sz w:val="21"/>
                <w:szCs w:val="21"/>
                <w:shd w:val="clear" w:fill="FFFFFF"/>
                <w:lang w:val="en-US" w:eastAsia="zh-CN"/>
              </w:rPr>
              <w:t>3</w:t>
            </w:r>
            <w:r>
              <w:rPr>
                <w:rFonts w:hint="eastAsia" w:ascii="宋体" w:hAnsi="宋体" w:eastAsia="宋体" w:cs="宋体"/>
                <w:i w:val="0"/>
                <w:iCs w:val="0"/>
                <w:caps w:val="0"/>
                <w:color w:val="auto"/>
                <w:spacing w:val="0"/>
                <w:sz w:val="21"/>
                <w:szCs w:val="21"/>
                <w:shd w:val="clear" w:fill="FFFFFF"/>
              </w:rPr>
              <w:t>分；每增加1次加1分，最高得</w:t>
            </w:r>
            <w:r>
              <w:rPr>
                <w:rFonts w:hint="eastAsia" w:ascii="宋体" w:hAnsi="宋体" w:eastAsia="宋体" w:cs="宋体"/>
                <w:i w:val="0"/>
                <w:iCs w:val="0"/>
                <w:caps w:val="0"/>
                <w:color w:val="auto"/>
                <w:spacing w:val="0"/>
                <w:sz w:val="21"/>
                <w:szCs w:val="21"/>
                <w:shd w:val="clear" w:fill="FFFFFF"/>
                <w:lang w:val="en-US" w:eastAsia="zh-CN"/>
              </w:rPr>
              <w:t>5</w:t>
            </w:r>
            <w:r>
              <w:rPr>
                <w:rFonts w:hint="eastAsia" w:ascii="宋体" w:hAnsi="宋体" w:eastAsia="宋体" w:cs="宋体"/>
                <w:i w:val="0"/>
                <w:iCs w:val="0"/>
                <w:caps w:val="0"/>
                <w:color w:val="auto"/>
                <w:spacing w:val="0"/>
                <w:sz w:val="21"/>
                <w:szCs w:val="21"/>
                <w:shd w:val="clear" w:fill="FFFFFF"/>
              </w:rPr>
              <w:t>分；少于2次按无效响应处理。</w:t>
            </w:r>
            <w:r>
              <w:rPr>
                <w:rFonts w:hint="eastAsia" w:ascii="宋体" w:hAnsi="宋体" w:eastAsia="宋体" w:cs="宋体"/>
                <w:i w:val="0"/>
                <w:iCs w:val="0"/>
                <w:caps w:val="0"/>
                <w:color w:val="auto"/>
                <w:spacing w:val="0"/>
                <w:sz w:val="21"/>
                <w:szCs w:val="21"/>
                <w:shd w:val="clear" w:fill="FFFFFF"/>
              </w:rPr>
              <w:br w:type="textWrapping"/>
            </w:r>
            <w:r>
              <w:rPr>
                <w:rFonts w:hint="eastAsia" w:ascii="宋体" w:hAnsi="宋体" w:eastAsia="宋体" w:cs="宋体"/>
                <w:i w:val="0"/>
                <w:iCs w:val="0"/>
                <w:caps w:val="0"/>
                <w:color w:val="auto"/>
                <w:spacing w:val="0"/>
                <w:sz w:val="21"/>
                <w:szCs w:val="21"/>
                <w:shd w:val="clear" w:fill="FFFFFF"/>
                <w:lang w:val="en-US" w:eastAsia="zh-CN"/>
              </w:rPr>
              <w:t xml:space="preserve">    3.</w:t>
            </w:r>
            <w:r>
              <w:rPr>
                <w:rFonts w:hint="eastAsia" w:ascii="宋体" w:hAnsi="宋体" w:eastAsia="宋体" w:cs="宋体"/>
                <w:i w:val="0"/>
                <w:iCs w:val="0"/>
                <w:caps w:val="0"/>
                <w:color w:val="auto"/>
                <w:spacing w:val="0"/>
                <w:sz w:val="21"/>
                <w:szCs w:val="21"/>
                <w:shd w:val="clear" w:fill="FFFFFF"/>
              </w:rPr>
              <w:t>项目参数更新和升级维护方案（</w:t>
            </w:r>
            <w:r>
              <w:rPr>
                <w:rFonts w:hint="eastAsia" w:ascii="宋体" w:hAnsi="宋体" w:eastAsia="宋体" w:cs="宋体"/>
                <w:i w:val="0"/>
                <w:iCs w:val="0"/>
                <w:caps w:val="0"/>
                <w:color w:val="auto"/>
                <w:spacing w:val="0"/>
                <w:sz w:val="21"/>
                <w:szCs w:val="21"/>
                <w:shd w:val="clear" w:fill="FFFFFF"/>
                <w:lang w:val="en-US" w:eastAsia="zh-CN"/>
              </w:rPr>
              <w:t>5</w:t>
            </w:r>
            <w:r>
              <w:rPr>
                <w:rFonts w:hint="eastAsia" w:ascii="宋体" w:hAnsi="宋体" w:eastAsia="宋体" w:cs="宋体"/>
                <w:i w:val="0"/>
                <w:iCs w:val="0"/>
                <w:caps w:val="0"/>
                <w:color w:val="auto"/>
                <w:spacing w:val="0"/>
                <w:sz w:val="21"/>
                <w:szCs w:val="21"/>
                <w:shd w:val="clear" w:fill="FFFFFF"/>
              </w:rPr>
              <w:t>分）：承诺服务期内免费更新维护，且至少每季度更新1次得</w:t>
            </w:r>
            <w:r>
              <w:rPr>
                <w:rFonts w:hint="eastAsia" w:ascii="宋体" w:hAnsi="宋体" w:eastAsia="宋体" w:cs="宋体"/>
                <w:i w:val="0"/>
                <w:iCs w:val="0"/>
                <w:caps w:val="0"/>
                <w:color w:val="auto"/>
                <w:spacing w:val="0"/>
                <w:sz w:val="21"/>
                <w:szCs w:val="21"/>
                <w:shd w:val="clear" w:fill="FFFFFF"/>
                <w:lang w:val="en-US" w:eastAsia="zh-CN"/>
              </w:rPr>
              <w:t>5</w:t>
            </w:r>
            <w:r>
              <w:rPr>
                <w:rFonts w:hint="eastAsia" w:ascii="宋体" w:hAnsi="宋体" w:eastAsia="宋体" w:cs="宋体"/>
                <w:i w:val="0"/>
                <w:iCs w:val="0"/>
                <w:caps w:val="0"/>
                <w:color w:val="auto"/>
                <w:spacing w:val="0"/>
                <w:sz w:val="21"/>
                <w:szCs w:val="21"/>
                <w:shd w:val="clear" w:fill="FFFFFF"/>
              </w:rPr>
              <w:t>分；至少每半年更新1次得</w:t>
            </w:r>
            <w:r>
              <w:rPr>
                <w:rFonts w:hint="eastAsia" w:ascii="宋体" w:hAnsi="宋体" w:eastAsia="宋体" w:cs="宋体"/>
                <w:i w:val="0"/>
                <w:iCs w:val="0"/>
                <w:caps w:val="0"/>
                <w:color w:val="auto"/>
                <w:spacing w:val="0"/>
                <w:sz w:val="21"/>
                <w:szCs w:val="21"/>
                <w:shd w:val="clear" w:fill="FFFFFF"/>
                <w:lang w:val="en-US" w:eastAsia="zh-CN"/>
              </w:rPr>
              <w:t>3</w:t>
            </w:r>
            <w:r>
              <w:rPr>
                <w:rFonts w:hint="eastAsia" w:ascii="宋体" w:hAnsi="宋体" w:eastAsia="宋体" w:cs="宋体"/>
                <w:i w:val="0"/>
                <w:iCs w:val="0"/>
                <w:caps w:val="0"/>
                <w:color w:val="auto"/>
                <w:spacing w:val="0"/>
                <w:sz w:val="21"/>
                <w:szCs w:val="21"/>
                <w:shd w:val="clear" w:fill="FFFFFF"/>
              </w:rPr>
              <w:t>分；仅承诺免费更新维护但无频次得</w:t>
            </w:r>
            <w:r>
              <w:rPr>
                <w:rFonts w:hint="eastAsia" w:ascii="宋体" w:hAnsi="宋体" w:eastAsia="宋体" w:cs="宋体"/>
                <w:i w:val="0"/>
                <w:iCs w:val="0"/>
                <w:caps w:val="0"/>
                <w:color w:val="auto"/>
                <w:spacing w:val="0"/>
                <w:sz w:val="21"/>
                <w:szCs w:val="21"/>
                <w:shd w:val="clear" w:fill="FFFFFF"/>
                <w:lang w:val="en-US" w:eastAsia="zh-CN"/>
              </w:rPr>
              <w:t>2</w:t>
            </w:r>
            <w:r>
              <w:rPr>
                <w:rFonts w:hint="eastAsia" w:ascii="宋体" w:hAnsi="宋体" w:eastAsia="宋体" w:cs="宋体"/>
                <w:i w:val="0"/>
                <w:iCs w:val="0"/>
                <w:caps w:val="0"/>
                <w:color w:val="auto"/>
                <w:spacing w:val="0"/>
                <w:sz w:val="21"/>
                <w:szCs w:val="21"/>
                <w:shd w:val="clear" w:fill="FFFFFF"/>
              </w:rPr>
              <w:t>分；未承诺不得分。</w:t>
            </w:r>
            <w:r>
              <w:rPr>
                <w:rFonts w:hint="eastAsia" w:ascii="宋体" w:hAnsi="宋体" w:eastAsia="宋体" w:cs="宋体"/>
                <w:i w:val="0"/>
                <w:iCs w:val="0"/>
                <w:caps w:val="0"/>
                <w:color w:val="auto"/>
                <w:spacing w:val="0"/>
                <w:sz w:val="21"/>
                <w:szCs w:val="21"/>
                <w:shd w:val="clear" w:fill="FFFFFF"/>
              </w:rPr>
              <w:br w:type="textWrapping"/>
            </w:r>
            <w:r>
              <w:rPr>
                <w:rFonts w:hint="eastAsia" w:ascii="宋体" w:hAnsi="宋体" w:eastAsia="宋体" w:cs="宋体"/>
                <w:i w:val="0"/>
                <w:iCs w:val="0"/>
                <w:caps w:val="0"/>
                <w:color w:val="auto"/>
                <w:spacing w:val="0"/>
                <w:sz w:val="21"/>
                <w:szCs w:val="21"/>
                <w:shd w:val="clear" w:fill="FFFFFF"/>
                <w:lang w:val="en-US" w:eastAsia="zh-CN"/>
              </w:rPr>
              <w:t xml:space="preserve">    4.</w:t>
            </w:r>
            <w:r>
              <w:rPr>
                <w:rFonts w:hint="eastAsia" w:ascii="宋体" w:hAnsi="宋体" w:eastAsia="宋体" w:cs="宋体"/>
                <w:i w:val="0"/>
                <w:iCs w:val="0"/>
                <w:caps w:val="0"/>
                <w:color w:val="auto"/>
                <w:spacing w:val="0"/>
                <w:sz w:val="21"/>
                <w:szCs w:val="21"/>
                <w:shd w:val="clear" w:fill="FFFFFF"/>
              </w:rPr>
              <w:t>免费售后服务期外的售后服务内容（</w:t>
            </w:r>
            <w:r>
              <w:rPr>
                <w:rFonts w:hint="eastAsia" w:ascii="宋体" w:hAnsi="宋体" w:eastAsia="宋体" w:cs="宋体"/>
                <w:i w:val="0"/>
                <w:iCs w:val="0"/>
                <w:caps w:val="0"/>
                <w:color w:val="auto"/>
                <w:spacing w:val="0"/>
                <w:sz w:val="21"/>
                <w:szCs w:val="21"/>
                <w:shd w:val="clear" w:fill="FFFFFF"/>
                <w:lang w:val="en-US" w:eastAsia="zh-CN"/>
              </w:rPr>
              <w:t>5</w:t>
            </w:r>
            <w:r>
              <w:rPr>
                <w:rFonts w:hint="eastAsia" w:ascii="宋体" w:hAnsi="宋体" w:eastAsia="宋体" w:cs="宋体"/>
                <w:i w:val="0"/>
                <w:iCs w:val="0"/>
                <w:caps w:val="0"/>
                <w:color w:val="auto"/>
                <w:spacing w:val="0"/>
                <w:sz w:val="21"/>
                <w:szCs w:val="21"/>
                <w:shd w:val="clear" w:fill="FFFFFF"/>
              </w:rPr>
              <w:t>分）：承诺服务期满后免费技术支持≥6个月得</w:t>
            </w:r>
            <w:r>
              <w:rPr>
                <w:rFonts w:hint="eastAsia" w:ascii="宋体" w:hAnsi="宋体" w:eastAsia="宋体" w:cs="宋体"/>
                <w:i w:val="0"/>
                <w:iCs w:val="0"/>
                <w:caps w:val="0"/>
                <w:color w:val="auto"/>
                <w:spacing w:val="0"/>
                <w:sz w:val="21"/>
                <w:szCs w:val="21"/>
                <w:shd w:val="clear" w:fill="FFFFFF"/>
                <w:lang w:val="en-US" w:eastAsia="zh-CN"/>
              </w:rPr>
              <w:t>5</w:t>
            </w:r>
            <w:r>
              <w:rPr>
                <w:rFonts w:hint="eastAsia" w:ascii="宋体" w:hAnsi="宋体" w:eastAsia="宋体" w:cs="宋体"/>
                <w:i w:val="0"/>
                <w:iCs w:val="0"/>
                <w:caps w:val="0"/>
                <w:color w:val="auto"/>
                <w:spacing w:val="0"/>
                <w:sz w:val="21"/>
                <w:szCs w:val="21"/>
                <w:shd w:val="clear" w:fill="FFFFFF"/>
              </w:rPr>
              <w:t>分；4</w:t>
            </w:r>
            <w:r>
              <w:rPr>
                <w:rFonts w:hint="eastAsia" w:ascii="宋体" w:hAnsi="宋体" w:eastAsia="宋体" w:cs="宋体"/>
                <w:i w:val="0"/>
                <w:iCs w:val="0"/>
                <w:caps w:val="0"/>
                <w:color w:val="auto"/>
                <w:spacing w:val="0"/>
                <w:sz w:val="21"/>
                <w:szCs w:val="21"/>
                <w:shd w:val="clear" w:fill="FFFFFF"/>
                <w:lang w:val="en-US" w:eastAsia="zh-CN"/>
              </w:rPr>
              <w:t>-</w:t>
            </w:r>
            <w:r>
              <w:rPr>
                <w:rFonts w:hint="eastAsia" w:ascii="宋体" w:hAnsi="宋体" w:eastAsia="宋体" w:cs="宋体"/>
                <w:i w:val="0"/>
                <w:iCs w:val="0"/>
                <w:caps w:val="0"/>
                <w:color w:val="auto"/>
                <w:spacing w:val="0"/>
                <w:sz w:val="21"/>
                <w:szCs w:val="21"/>
                <w:shd w:val="clear" w:fill="FFFFFF"/>
              </w:rPr>
              <w:t>5个月得</w:t>
            </w:r>
            <w:r>
              <w:rPr>
                <w:rFonts w:hint="eastAsia" w:ascii="宋体" w:hAnsi="宋体" w:eastAsia="宋体" w:cs="宋体"/>
                <w:i w:val="0"/>
                <w:iCs w:val="0"/>
                <w:caps w:val="0"/>
                <w:color w:val="auto"/>
                <w:spacing w:val="0"/>
                <w:sz w:val="21"/>
                <w:szCs w:val="21"/>
                <w:shd w:val="clear" w:fill="FFFFFF"/>
                <w:lang w:val="en-US" w:eastAsia="zh-CN"/>
              </w:rPr>
              <w:t>3</w:t>
            </w:r>
            <w:r>
              <w:rPr>
                <w:rFonts w:hint="eastAsia" w:ascii="宋体" w:hAnsi="宋体" w:eastAsia="宋体" w:cs="宋体"/>
                <w:i w:val="0"/>
                <w:iCs w:val="0"/>
                <w:caps w:val="0"/>
                <w:color w:val="auto"/>
                <w:spacing w:val="0"/>
                <w:sz w:val="21"/>
                <w:szCs w:val="21"/>
                <w:shd w:val="clear" w:fill="FFFFFF"/>
              </w:rPr>
              <w:t>分；2</w:t>
            </w:r>
            <w:r>
              <w:rPr>
                <w:rFonts w:hint="eastAsia" w:ascii="宋体" w:hAnsi="宋体" w:eastAsia="宋体" w:cs="宋体"/>
                <w:i w:val="0"/>
                <w:iCs w:val="0"/>
                <w:caps w:val="0"/>
                <w:color w:val="auto"/>
                <w:spacing w:val="0"/>
                <w:sz w:val="21"/>
                <w:szCs w:val="21"/>
                <w:shd w:val="clear" w:fill="FFFFFF"/>
                <w:lang w:val="en-US" w:eastAsia="zh-CN"/>
              </w:rPr>
              <w:t>-</w:t>
            </w:r>
            <w:r>
              <w:rPr>
                <w:rFonts w:hint="eastAsia" w:ascii="宋体" w:hAnsi="宋体" w:eastAsia="宋体" w:cs="宋体"/>
                <w:i w:val="0"/>
                <w:iCs w:val="0"/>
                <w:caps w:val="0"/>
                <w:color w:val="auto"/>
                <w:spacing w:val="0"/>
                <w:sz w:val="21"/>
                <w:szCs w:val="21"/>
                <w:shd w:val="clear" w:fill="FFFFFF"/>
              </w:rPr>
              <w:t>3个月得</w:t>
            </w:r>
            <w:r>
              <w:rPr>
                <w:rFonts w:hint="eastAsia" w:ascii="宋体" w:hAnsi="宋体" w:eastAsia="宋体" w:cs="宋体"/>
                <w:i w:val="0"/>
                <w:iCs w:val="0"/>
                <w:caps w:val="0"/>
                <w:color w:val="auto"/>
                <w:spacing w:val="0"/>
                <w:sz w:val="21"/>
                <w:szCs w:val="21"/>
                <w:shd w:val="clear" w:fill="FFFFFF"/>
                <w:lang w:val="en-US" w:eastAsia="zh-CN"/>
              </w:rPr>
              <w:t>2</w:t>
            </w:r>
            <w:r>
              <w:rPr>
                <w:rFonts w:hint="eastAsia" w:ascii="宋体" w:hAnsi="宋体" w:eastAsia="宋体" w:cs="宋体"/>
                <w:i w:val="0"/>
                <w:iCs w:val="0"/>
                <w:caps w:val="0"/>
                <w:color w:val="auto"/>
                <w:spacing w:val="0"/>
                <w:sz w:val="21"/>
                <w:szCs w:val="21"/>
                <w:shd w:val="clear" w:fill="FFFFFF"/>
              </w:rPr>
              <w:t>分；少于2个月或未承诺不得分。</w:t>
            </w:r>
            <w:r>
              <w:rPr>
                <w:rFonts w:hint="eastAsia" w:ascii="宋体" w:hAnsi="宋体" w:eastAsia="宋体" w:cs="宋体"/>
                <w:i w:val="0"/>
                <w:iCs w:val="0"/>
                <w:caps w:val="0"/>
                <w:color w:val="auto"/>
                <w:spacing w:val="0"/>
                <w:sz w:val="21"/>
                <w:szCs w:val="21"/>
                <w:shd w:val="clear" w:fill="FFFFFF"/>
              </w:rPr>
              <w:br w:type="textWrapping"/>
            </w:r>
            <w:r>
              <w:rPr>
                <w:rFonts w:hint="eastAsia" w:ascii="宋体" w:hAnsi="宋体" w:eastAsia="宋体" w:cs="宋体"/>
                <w:i w:val="0"/>
                <w:iCs w:val="0"/>
                <w:caps w:val="0"/>
                <w:color w:val="auto"/>
                <w:spacing w:val="0"/>
                <w:sz w:val="21"/>
                <w:szCs w:val="21"/>
                <w:shd w:val="clear" w:fill="FFFFFF"/>
                <w:lang w:val="en-US" w:eastAsia="zh-CN"/>
              </w:rPr>
              <w:t xml:space="preserve">    5.</w:t>
            </w:r>
            <w:r>
              <w:rPr>
                <w:rFonts w:hint="eastAsia" w:ascii="宋体" w:hAnsi="宋体" w:eastAsia="宋体" w:cs="宋体"/>
                <w:i w:val="0"/>
                <w:iCs w:val="0"/>
                <w:caps w:val="0"/>
                <w:color w:val="auto"/>
                <w:spacing w:val="0"/>
                <w:sz w:val="21"/>
                <w:szCs w:val="21"/>
                <w:shd w:val="clear" w:fill="FFFFFF"/>
              </w:rPr>
              <w:t>回访措施（3分）：承诺每季度回访1次得3分；每半年回访1次得1分；未提供不得分。</w:t>
            </w:r>
            <w:r>
              <w:rPr>
                <w:rFonts w:hint="eastAsia" w:ascii="宋体" w:hAnsi="宋体" w:eastAsia="宋体" w:cs="宋体"/>
                <w:i w:val="0"/>
                <w:iCs w:val="0"/>
                <w:caps w:val="0"/>
                <w:color w:val="auto"/>
                <w:spacing w:val="0"/>
                <w:sz w:val="21"/>
                <w:szCs w:val="21"/>
                <w:shd w:val="clear" w:fill="FFFFFF"/>
              </w:rPr>
              <w:br w:type="textWrapping"/>
            </w:r>
            <w:r>
              <w:rPr>
                <w:rFonts w:hint="eastAsia" w:ascii="宋体" w:hAnsi="宋体" w:eastAsia="宋体" w:cs="宋体"/>
                <w:i w:val="0"/>
                <w:iCs w:val="0"/>
                <w:caps w:val="0"/>
                <w:color w:val="auto"/>
                <w:spacing w:val="0"/>
                <w:sz w:val="21"/>
                <w:szCs w:val="21"/>
                <w:shd w:val="clear" w:fill="FFFFFF"/>
                <w:lang w:val="en-US" w:eastAsia="zh-CN"/>
              </w:rPr>
              <w:t xml:space="preserve">    6.</w:t>
            </w:r>
            <w:r>
              <w:rPr>
                <w:rFonts w:hint="eastAsia" w:ascii="宋体" w:hAnsi="宋体" w:eastAsia="宋体" w:cs="宋体"/>
                <w:i w:val="0"/>
                <w:iCs w:val="0"/>
                <w:caps w:val="0"/>
                <w:color w:val="auto"/>
                <w:spacing w:val="0"/>
                <w:sz w:val="21"/>
                <w:szCs w:val="21"/>
                <w:shd w:val="clear" w:fill="FFFFFF"/>
              </w:rPr>
              <w:t>售后服务体系（4分）：提供7×24小时在线客服和电话客服得4分；提供5×8小时在线客服和电话客服得2分；仅提供一种客服方式得1分；未提供不得分。</w:t>
            </w:r>
          </w:p>
          <w:p w14:paraId="46B356A1">
            <w:pPr>
              <w:pStyle w:val="17"/>
              <w:bidi w:val="0"/>
              <w:ind w:left="0" w:leftChars="0" w:firstLine="422" w:firstLineChars="200"/>
              <w:jc w:val="both"/>
              <w:rPr>
                <w:rFonts w:hint="default"/>
                <w:color w:val="auto"/>
                <w:highlight w:val="none"/>
                <w:lang w:val="en-US" w:eastAsia="zh-CN"/>
              </w:rPr>
            </w:pPr>
            <w:r>
              <w:rPr>
                <w:rFonts w:hint="eastAsia"/>
                <w:b/>
                <w:bCs/>
                <w:color w:val="auto"/>
                <w:lang w:val="en-US" w:eastAsia="zh-CN"/>
              </w:rPr>
              <w:t>注：</w:t>
            </w:r>
            <w:r>
              <w:rPr>
                <w:rFonts w:hint="eastAsia"/>
                <w:b/>
                <w:bCs/>
                <w:color w:val="auto"/>
              </w:rPr>
              <w:t>未提供方案或提供的内容</w:t>
            </w:r>
            <w:r>
              <w:rPr>
                <w:rFonts w:hint="eastAsia"/>
                <w:b/>
                <w:bCs/>
              </w:rPr>
              <w:t>与本项目无关的</w:t>
            </w:r>
            <w:r>
              <w:rPr>
                <w:rFonts w:hint="eastAsia"/>
                <w:b/>
                <w:bCs/>
                <w:lang w:val="en-US" w:eastAsia="zh-CN"/>
              </w:rPr>
              <w:t>不得分</w:t>
            </w:r>
            <w:r>
              <w:rPr>
                <w:rFonts w:hint="eastAsia"/>
                <w:b/>
                <w:bCs/>
                <w:lang w:eastAsia="zh-CN"/>
              </w:rPr>
              <w:t>。</w:t>
            </w:r>
          </w:p>
        </w:tc>
        <w:tc>
          <w:tcPr>
            <w:tcW w:w="745"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1CC7E7B">
            <w:pPr>
              <w:pStyle w:val="17"/>
              <w:bidi w:val="0"/>
              <w:ind w:left="0" w:leftChars="0" w:firstLine="0" w:firstLineChars="0"/>
              <w:jc w:val="both"/>
              <w:rPr>
                <w:rFonts w:hint="default" w:ascii="宋体" w:hAnsi="宋体" w:cs="宋体" w:eastAsiaTheme="minorEastAsia"/>
                <w:b/>
                <w:bCs/>
                <w:szCs w:val="21"/>
                <w:lang w:val="en-US" w:eastAsia="zh-CN"/>
              </w:rPr>
            </w:pPr>
            <w:r>
              <w:rPr>
                <w:rFonts w:hint="eastAsia"/>
                <w:b/>
                <w:bCs/>
                <w:lang w:val="en-US" w:eastAsia="zh-CN"/>
              </w:rPr>
              <w:t>30分</w:t>
            </w:r>
          </w:p>
        </w:tc>
      </w:tr>
      <w:tr w14:paraId="6D2B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jc w:val="center"/>
        </w:trPr>
        <w:tc>
          <w:tcPr>
            <w:tcW w:w="40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14:paraId="109EE0C6">
            <w:pPr>
              <w:bidi w:val="0"/>
              <w:jc w:val="both"/>
              <w:rPr>
                <w:color w:val="auto"/>
                <w:highlight w:val="none"/>
                <w:lang w:val="en-US"/>
              </w:rPr>
            </w:pPr>
            <w:r>
              <w:rPr>
                <w:rFonts w:hint="eastAsia"/>
                <w:color w:val="auto"/>
                <w:highlight w:val="none"/>
                <w:lang w:val="en-US" w:eastAsia="zh-CN"/>
              </w:rPr>
              <w:t>3</w:t>
            </w:r>
          </w:p>
        </w:tc>
        <w:tc>
          <w:tcPr>
            <w:tcW w:w="1067"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14:paraId="6E154CDF">
            <w:pPr>
              <w:bidi w:val="0"/>
              <w:jc w:val="both"/>
              <w:rPr>
                <w:color w:val="auto"/>
                <w:highlight w:val="none"/>
                <w:lang w:val="en-US"/>
              </w:rPr>
            </w:pPr>
            <w:r>
              <w:rPr>
                <w:rFonts w:hint="eastAsia"/>
                <w:color w:val="auto"/>
                <w:highlight w:val="none"/>
                <w:lang w:val="en-US" w:eastAsia="zh-CN"/>
              </w:rPr>
              <w:t>商务分（满分15分）</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0"/>
            <w:tcMar>
              <w:left w:w="57" w:type="dxa"/>
              <w:right w:w="57" w:type="dxa"/>
            </w:tcMar>
            <w:vAlign w:val="top"/>
          </w:tcPr>
          <w:p w14:paraId="75D67968">
            <w:pPr>
              <w:bidi w:val="0"/>
              <w:jc w:val="both"/>
              <w:rPr>
                <w:rFonts w:hint="eastAsia"/>
                <w:color w:val="auto"/>
                <w:highlight w:val="none"/>
                <w:lang w:val="en-US" w:eastAsia="zh-CN"/>
              </w:rPr>
            </w:pPr>
            <w:r>
              <w:rPr>
                <w:rFonts w:hint="eastAsia"/>
                <w:color w:val="auto"/>
                <w:highlight w:val="none"/>
                <w:lang w:val="en-US" w:eastAsia="zh-CN"/>
              </w:rPr>
              <w:t>业绩（满分7分）</w:t>
            </w:r>
          </w:p>
        </w:tc>
        <w:tc>
          <w:tcPr>
            <w:tcW w:w="4783" w:type="dxa"/>
            <w:tcBorders>
              <w:top w:val="single" w:color="auto" w:sz="4" w:space="0"/>
              <w:left w:val="single" w:color="auto" w:sz="4" w:space="0"/>
              <w:bottom w:val="single" w:color="auto" w:sz="4" w:space="0"/>
              <w:right w:val="single" w:color="auto" w:sz="4" w:space="0"/>
            </w:tcBorders>
            <w:noWrap w:val="0"/>
            <w:vAlign w:val="top"/>
          </w:tcPr>
          <w:p w14:paraId="643928A3">
            <w:pPr>
              <w:pStyle w:val="17"/>
              <w:bidi w:val="0"/>
              <w:jc w:val="both"/>
              <w:rPr>
                <w:rFonts w:hint="eastAsia"/>
                <w:color w:val="auto"/>
                <w:highlight w:val="none"/>
                <w:lang w:val="en-US" w:eastAsia="zh-CN"/>
              </w:rPr>
            </w:pPr>
            <w:r>
              <w:rPr>
                <w:rFonts w:hint="eastAsia"/>
                <w:color w:val="auto"/>
                <w:highlight w:val="none"/>
                <w:lang w:val="en-US" w:eastAsia="zh-CN"/>
              </w:rPr>
              <w:t>2023年1月1日以来至报价截止时间（以合同签订时间为准）止，供应商每具有一个类似项目业绩得1分，满分7分</w:t>
            </w:r>
          </w:p>
          <w:p w14:paraId="57F0E3B1">
            <w:pPr>
              <w:pStyle w:val="17"/>
              <w:bidi w:val="0"/>
              <w:jc w:val="both"/>
              <w:rPr>
                <w:rFonts w:hint="default"/>
                <w:b w:val="0"/>
                <w:bCs w:val="0"/>
                <w:color w:val="auto"/>
                <w:highlight w:val="none"/>
                <w:lang w:val="en-US" w:eastAsia="zh-CN"/>
              </w:rPr>
            </w:pPr>
            <w:r>
              <w:rPr>
                <w:rFonts w:hint="eastAsia"/>
                <w:b/>
                <w:bCs/>
                <w:color w:val="auto"/>
                <w:highlight w:val="none"/>
                <w:lang w:val="en-US" w:eastAsia="zh-CN"/>
              </w:rPr>
              <w:t>注：须提供清晰有效的合同扫描件(含服务名称、服务内容、签名、签订合同时间），</w:t>
            </w:r>
            <w:r>
              <w:rPr>
                <w:rFonts w:hint="eastAsia"/>
                <w:b/>
                <w:bCs/>
              </w:rPr>
              <w:t>未提供</w:t>
            </w:r>
            <w:r>
              <w:rPr>
                <w:rFonts w:hint="eastAsia"/>
                <w:b/>
                <w:bCs/>
                <w:lang w:eastAsia="zh-CN"/>
              </w:rPr>
              <w:t>、</w:t>
            </w:r>
            <w:r>
              <w:rPr>
                <w:rFonts w:hint="eastAsia"/>
                <w:b/>
                <w:bCs/>
                <w:lang w:val="en-US" w:eastAsia="zh-CN"/>
              </w:rPr>
              <w:t>提供不全以及与</w:t>
            </w:r>
            <w:r>
              <w:rPr>
                <w:rFonts w:hint="eastAsia"/>
                <w:b/>
                <w:bCs/>
              </w:rPr>
              <w:t>本项目无关的</w:t>
            </w:r>
            <w:r>
              <w:rPr>
                <w:rFonts w:hint="eastAsia"/>
                <w:b/>
                <w:bCs/>
                <w:lang w:val="en-US" w:eastAsia="zh-CN"/>
              </w:rPr>
              <w:t>合同不得分</w:t>
            </w:r>
            <w:r>
              <w:rPr>
                <w:rFonts w:hint="eastAsia"/>
                <w:color w:val="auto"/>
                <w:highlight w:val="none"/>
                <w:lang w:val="en-US" w:eastAsia="zh-CN"/>
              </w:rPr>
              <w:t>。</w:t>
            </w:r>
          </w:p>
        </w:tc>
        <w:tc>
          <w:tcPr>
            <w:tcW w:w="745" w:type="dxa"/>
            <w:tcBorders>
              <w:top w:val="single" w:color="auto" w:sz="4" w:space="0"/>
              <w:left w:val="single" w:color="auto" w:sz="4" w:space="0"/>
              <w:bottom w:val="single" w:color="auto" w:sz="4" w:space="0"/>
              <w:right w:val="single" w:color="auto" w:sz="4" w:space="0"/>
            </w:tcBorders>
            <w:noWrap w:val="0"/>
            <w:vAlign w:val="top"/>
          </w:tcPr>
          <w:p w14:paraId="62F65311">
            <w:pPr>
              <w:pStyle w:val="17"/>
              <w:bidi w:val="0"/>
              <w:ind w:left="0" w:leftChars="0" w:firstLine="0" w:firstLineChars="0"/>
              <w:jc w:val="both"/>
              <w:rPr>
                <w:rFonts w:hint="default"/>
                <w:b/>
                <w:bCs/>
                <w:color w:val="auto"/>
                <w:highlight w:val="none"/>
                <w:lang w:val="en-US" w:eastAsia="zh-CN"/>
              </w:rPr>
            </w:pPr>
            <w:r>
              <w:rPr>
                <w:rFonts w:hint="eastAsia"/>
                <w:b/>
                <w:bCs/>
                <w:color w:val="auto"/>
                <w:highlight w:val="none"/>
                <w:lang w:val="en-US" w:eastAsia="zh-CN"/>
              </w:rPr>
              <w:t>7分</w:t>
            </w:r>
          </w:p>
        </w:tc>
      </w:tr>
      <w:tr w14:paraId="15D0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40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14:paraId="7371ECEC">
            <w:pPr>
              <w:bidi w:val="0"/>
              <w:jc w:val="both"/>
              <w:rPr>
                <w:rFonts w:hint="default"/>
                <w:color w:val="auto"/>
                <w:highlight w:val="none"/>
              </w:rPr>
            </w:pPr>
          </w:p>
        </w:tc>
        <w:tc>
          <w:tcPr>
            <w:tcW w:w="106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14:paraId="090BCC26">
            <w:pPr>
              <w:bidi w:val="0"/>
              <w:jc w:val="both"/>
              <w:rPr>
                <w:rFonts w:hint="default"/>
                <w:color w:val="auto"/>
                <w:highlight w:val="none"/>
              </w:rPr>
            </w:pPr>
          </w:p>
        </w:tc>
        <w:tc>
          <w:tcPr>
            <w:tcW w:w="1100" w:type="dxa"/>
            <w:tcBorders>
              <w:top w:val="single" w:color="auto" w:sz="4" w:space="0"/>
              <w:left w:val="single" w:color="auto" w:sz="4" w:space="0"/>
              <w:bottom w:val="single" w:color="auto" w:sz="4" w:space="0"/>
              <w:right w:val="single" w:color="auto" w:sz="4" w:space="0"/>
            </w:tcBorders>
            <w:shd w:val="clear" w:color="auto" w:fill="auto"/>
            <w:noWrap w:val="0"/>
            <w:tcMar>
              <w:left w:w="57" w:type="dxa"/>
              <w:right w:w="57" w:type="dxa"/>
            </w:tcMar>
            <w:vAlign w:val="top"/>
          </w:tcPr>
          <w:p w14:paraId="710E2C1E">
            <w:pPr>
              <w:bidi w:val="0"/>
              <w:jc w:val="both"/>
              <w:rPr>
                <w:rFonts w:hint="eastAsia" w:eastAsiaTheme="minorEastAsia"/>
                <w:color w:val="auto"/>
                <w:highlight w:val="none"/>
                <w:lang w:val="en-US" w:eastAsia="zh-CN"/>
              </w:rPr>
            </w:pPr>
            <w:r>
              <w:rPr>
                <w:rFonts w:hint="eastAsia"/>
                <w:color w:val="auto"/>
                <w:highlight w:val="none"/>
                <w:lang w:val="en-US" w:eastAsia="zh-CN"/>
              </w:rPr>
              <w:t>履约能力（满分8分）</w:t>
            </w:r>
          </w:p>
        </w:tc>
        <w:tc>
          <w:tcPr>
            <w:tcW w:w="4783" w:type="dxa"/>
            <w:tcBorders>
              <w:top w:val="single" w:color="auto" w:sz="4" w:space="0"/>
              <w:left w:val="single" w:color="auto" w:sz="4" w:space="0"/>
              <w:bottom w:val="single" w:color="auto" w:sz="4" w:space="0"/>
              <w:right w:val="single" w:color="auto" w:sz="4" w:space="0"/>
            </w:tcBorders>
            <w:noWrap w:val="0"/>
            <w:vAlign w:val="top"/>
          </w:tcPr>
          <w:p w14:paraId="5C1BC81D">
            <w:pPr>
              <w:pStyle w:val="17"/>
              <w:bidi w:val="0"/>
              <w:ind w:left="0" w:leftChars="0" w:firstLine="420" w:firstLineChars="200"/>
              <w:jc w:val="both"/>
              <w:rPr>
                <w:b w:val="0"/>
                <w:bCs w:val="0"/>
                <w:color w:val="auto"/>
                <w:highlight w:val="none"/>
                <w:lang w:val="en-US"/>
              </w:rPr>
            </w:pPr>
            <w:r>
              <w:rPr>
                <w:rFonts w:hint="eastAsia"/>
                <w:color w:val="auto"/>
                <w:highlight w:val="none"/>
                <w:lang w:val="en-US" w:eastAsia="zh-CN"/>
              </w:rPr>
              <w:t>1.提供</w:t>
            </w:r>
            <w:r>
              <w:rPr>
                <w:rFonts w:hint="eastAsia"/>
                <w:b w:val="0"/>
                <w:bCs w:val="0"/>
                <w:color w:val="auto"/>
                <w:highlight w:val="none"/>
                <w:lang w:val="en-US" w:eastAsia="zh-CN"/>
              </w:rPr>
              <w:t>课堂教学类软件著作权证书</w:t>
            </w:r>
            <w:r>
              <w:rPr>
                <w:rFonts w:hint="eastAsia"/>
                <w:lang w:val="en-US" w:eastAsia="zh-CN"/>
              </w:rPr>
              <w:t>复印件</w:t>
            </w:r>
            <w:r>
              <w:rPr>
                <w:rFonts w:hint="eastAsia" w:ascii="宋体" w:hAnsi="宋体" w:eastAsia="宋体" w:cs="宋体"/>
                <w:i w:val="0"/>
                <w:iCs w:val="0"/>
                <w:caps w:val="0"/>
                <w:color w:val="auto"/>
                <w:spacing w:val="0"/>
                <w:kern w:val="2"/>
                <w:sz w:val="21"/>
                <w:szCs w:val="21"/>
                <w:shd w:val="clear" w:fill="FFFFFF"/>
                <w:lang w:val="en-US" w:eastAsia="zh-CN" w:bidi="ar-SA"/>
              </w:rPr>
              <w:t>（加盖供应商公章）</w:t>
            </w:r>
            <w:r>
              <w:rPr>
                <w:rFonts w:hint="eastAsia"/>
                <w:b w:val="0"/>
                <w:bCs w:val="0"/>
                <w:color w:val="auto"/>
                <w:highlight w:val="none"/>
                <w:lang w:val="en-US" w:eastAsia="zh-CN"/>
              </w:rPr>
              <w:t>，每一份得1分，满分4分。</w:t>
            </w:r>
          </w:p>
          <w:p w14:paraId="44A40CB5">
            <w:pPr>
              <w:pStyle w:val="17"/>
              <w:bidi w:val="0"/>
              <w:ind w:left="0" w:leftChars="0" w:firstLine="420" w:firstLineChars="200"/>
              <w:jc w:val="both"/>
              <w:rPr>
                <w:rFonts w:hint="eastAsia"/>
                <w:b w:val="0"/>
                <w:bCs w:val="0"/>
                <w:color w:val="auto"/>
                <w:highlight w:val="none"/>
                <w:lang w:val="en-US" w:eastAsia="zh-CN"/>
              </w:rPr>
            </w:pPr>
            <w:r>
              <w:rPr>
                <w:rFonts w:hint="eastAsia"/>
                <w:b w:val="0"/>
                <w:bCs w:val="0"/>
                <w:color w:val="auto"/>
                <w:highlight w:val="none"/>
                <w:lang w:val="en-US" w:eastAsia="zh-CN"/>
              </w:rPr>
              <w:t>2.提供网络教学系统类软件著作权证书</w:t>
            </w:r>
            <w:r>
              <w:rPr>
                <w:rFonts w:hint="eastAsia"/>
                <w:lang w:val="en-US" w:eastAsia="zh-CN"/>
              </w:rPr>
              <w:t>复印件</w:t>
            </w:r>
            <w:r>
              <w:rPr>
                <w:rFonts w:hint="eastAsia" w:ascii="宋体" w:hAnsi="宋体" w:eastAsia="宋体" w:cs="宋体"/>
                <w:i w:val="0"/>
                <w:iCs w:val="0"/>
                <w:caps w:val="0"/>
                <w:color w:val="auto"/>
                <w:spacing w:val="0"/>
                <w:kern w:val="2"/>
                <w:sz w:val="21"/>
                <w:szCs w:val="21"/>
                <w:shd w:val="clear" w:fill="FFFFFF"/>
                <w:lang w:val="en-US" w:eastAsia="zh-CN" w:bidi="ar-SA"/>
              </w:rPr>
              <w:t>（加盖供应商公章）</w:t>
            </w:r>
            <w:r>
              <w:rPr>
                <w:rFonts w:hint="eastAsia"/>
                <w:b w:val="0"/>
                <w:bCs w:val="0"/>
                <w:color w:val="auto"/>
                <w:highlight w:val="none"/>
                <w:lang w:val="en-US" w:eastAsia="zh-CN"/>
              </w:rPr>
              <w:t>，每一份得1分，满分4分。</w:t>
            </w:r>
          </w:p>
          <w:p w14:paraId="587168BC">
            <w:pPr>
              <w:pStyle w:val="17"/>
              <w:numPr>
                <w:ilvl w:val="0"/>
                <w:numId w:val="0"/>
              </w:numPr>
              <w:bidi w:val="0"/>
              <w:jc w:val="both"/>
              <w:rPr>
                <w:rFonts w:hint="default"/>
                <w:b/>
                <w:bCs/>
                <w:color w:val="auto"/>
                <w:highlight w:val="none"/>
                <w:lang w:val="en-US" w:eastAsia="zh-CN"/>
              </w:rPr>
            </w:pPr>
            <w:r>
              <w:rPr>
                <w:rFonts w:hint="eastAsia"/>
                <w:b/>
                <w:bCs/>
                <w:color w:val="auto"/>
                <w:highlight w:val="none"/>
                <w:lang w:val="en-US" w:eastAsia="zh-CN"/>
              </w:rPr>
              <w:t>注：提供以上证书的清晰复印件，原件备查，并加盖供应商公章，提供不全或未提供不得分。一份证书只能计一次分。</w:t>
            </w:r>
          </w:p>
          <w:p w14:paraId="76CECCFD">
            <w:pPr>
              <w:pStyle w:val="17"/>
              <w:numPr>
                <w:ilvl w:val="0"/>
                <w:numId w:val="0"/>
              </w:numPr>
              <w:bidi w:val="0"/>
              <w:jc w:val="both"/>
              <w:rPr>
                <w:rFonts w:hint="eastAsia"/>
                <w:b/>
                <w:bCs/>
                <w:color w:val="auto"/>
                <w:highlight w:val="none"/>
                <w:lang w:val="en-US" w:eastAsia="zh-CN"/>
              </w:rPr>
            </w:pPr>
          </w:p>
          <w:p w14:paraId="6CFDE50A">
            <w:pPr>
              <w:pStyle w:val="17"/>
              <w:numPr>
                <w:ilvl w:val="0"/>
                <w:numId w:val="0"/>
              </w:numPr>
              <w:bidi w:val="0"/>
              <w:jc w:val="both"/>
              <w:rPr>
                <w:rFonts w:hint="eastAsia"/>
                <w:color w:val="auto"/>
                <w:highlight w:val="none"/>
                <w:lang w:val="en-US"/>
              </w:rPr>
            </w:pPr>
          </w:p>
          <w:p w14:paraId="2C651E3E">
            <w:pPr>
              <w:pStyle w:val="17"/>
              <w:numPr>
                <w:ilvl w:val="0"/>
                <w:numId w:val="0"/>
              </w:numPr>
              <w:bidi w:val="0"/>
              <w:jc w:val="both"/>
              <w:rPr>
                <w:rFonts w:hint="eastAsia"/>
                <w:color w:val="auto"/>
                <w:highlight w:val="none"/>
                <w:lang w:val="en-US"/>
              </w:rPr>
            </w:pPr>
          </w:p>
        </w:tc>
        <w:tc>
          <w:tcPr>
            <w:tcW w:w="745" w:type="dxa"/>
            <w:tcBorders>
              <w:top w:val="single" w:color="auto" w:sz="4" w:space="0"/>
              <w:left w:val="single" w:color="auto" w:sz="4" w:space="0"/>
              <w:bottom w:val="single" w:color="auto" w:sz="4" w:space="0"/>
              <w:right w:val="single" w:color="auto" w:sz="4" w:space="0"/>
            </w:tcBorders>
            <w:noWrap w:val="0"/>
            <w:vAlign w:val="top"/>
          </w:tcPr>
          <w:p w14:paraId="259EE440">
            <w:pPr>
              <w:pStyle w:val="17"/>
              <w:bidi w:val="0"/>
              <w:ind w:left="0" w:leftChars="0" w:firstLine="0" w:firstLineChars="0"/>
              <w:jc w:val="both"/>
              <w:rPr>
                <w:rFonts w:hint="default"/>
                <w:b/>
                <w:bCs/>
                <w:color w:val="auto"/>
                <w:highlight w:val="none"/>
                <w:lang w:val="en-US" w:eastAsia="zh-CN"/>
              </w:rPr>
            </w:pPr>
            <w:r>
              <w:rPr>
                <w:rFonts w:hint="eastAsia"/>
                <w:b/>
                <w:bCs/>
                <w:color w:val="auto"/>
                <w:highlight w:val="none"/>
                <w:lang w:val="en-US" w:eastAsia="zh-CN"/>
              </w:rPr>
              <w:t>8分</w:t>
            </w:r>
          </w:p>
        </w:tc>
      </w:tr>
      <w:tr w14:paraId="08FE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7351" w:type="dxa"/>
            <w:gridSpan w:val="4"/>
            <w:tcBorders>
              <w:top w:val="single" w:color="auto" w:sz="4" w:space="0"/>
              <w:left w:val="single" w:color="auto" w:sz="4" w:space="0"/>
              <w:bottom w:val="single" w:color="auto" w:sz="4" w:space="0"/>
              <w:right w:val="single" w:color="auto" w:sz="4" w:space="0"/>
            </w:tcBorders>
            <w:noWrap w:val="0"/>
            <w:vAlign w:val="top"/>
          </w:tcPr>
          <w:p w14:paraId="199BC083">
            <w:pPr>
              <w:bidi w:val="0"/>
              <w:jc w:val="both"/>
              <w:rPr>
                <w:rFonts w:hint="default"/>
                <w:color w:val="auto"/>
                <w:highlight w:val="none"/>
                <w:lang w:val="en-US"/>
              </w:rPr>
            </w:pPr>
            <w:r>
              <w:rPr>
                <w:rFonts w:hint="eastAsia"/>
                <w:b/>
                <w:bCs/>
                <w:color w:val="auto"/>
                <w:highlight w:val="none"/>
                <w:lang w:val="en-US" w:eastAsia="zh-CN"/>
              </w:rPr>
              <w:t>总得分=1+2+3</w:t>
            </w:r>
          </w:p>
        </w:tc>
        <w:tc>
          <w:tcPr>
            <w:tcW w:w="745" w:type="dxa"/>
            <w:tcBorders>
              <w:top w:val="single" w:color="auto" w:sz="4" w:space="0"/>
              <w:left w:val="single" w:color="auto" w:sz="4" w:space="0"/>
              <w:bottom w:val="single" w:color="auto" w:sz="4" w:space="0"/>
              <w:right w:val="single" w:color="auto" w:sz="4" w:space="0"/>
            </w:tcBorders>
            <w:noWrap w:val="0"/>
            <w:vAlign w:val="top"/>
          </w:tcPr>
          <w:p w14:paraId="7D17D0C5">
            <w:pPr>
              <w:bidi w:val="0"/>
              <w:jc w:val="both"/>
              <w:rPr>
                <w:rFonts w:hint="eastAsia"/>
                <w:b/>
                <w:bCs/>
                <w:color w:val="auto"/>
                <w:highlight w:val="none"/>
                <w:lang w:val="en-US" w:eastAsia="zh-CN"/>
              </w:rPr>
            </w:pPr>
          </w:p>
        </w:tc>
      </w:tr>
    </w:tbl>
    <w:p w14:paraId="7123B89F"/>
    <w:p w14:paraId="38DFC679">
      <w:pPr>
        <w:pStyle w:val="7"/>
        <w:spacing w:line="360" w:lineRule="auto"/>
        <w:rPr>
          <w:rFonts w:hint="eastAsia" w:asciiTheme="minorEastAsia" w:hAnsiTheme="minorEastAsia" w:cstheme="minorEastAsia"/>
        </w:rPr>
      </w:pPr>
    </w:p>
    <w:p w14:paraId="544A9D7D">
      <w:pPr>
        <w:pStyle w:val="7"/>
        <w:spacing w:line="360" w:lineRule="auto"/>
        <w:rPr>
          <w:rFonts w:hint="eastAsia" w:asciiTheme="minorEastAsia" w:hAnsiTheme="minorEastAsia" w:cstheme="minorEastAsia"/>
        </w:rPr>
      </w:pPr>
    </w:p>
    <w:p w14:paraId="31783955">
      <w:pPr>
        <w:pStyle w:val="7"/>
        <w:spacing w:line="360" w:lineRule="auto"/>
        <w:rPr>
          <w:rFonts w:hint="eastAsia" w:asciiTheme="minorEastAsia" w:hAnsiTheme="minorEastAsia" w:cstheme="minorEastAsia"/>
        </w:rPr>
      </w:pPr>
    </w:p>
    <w:p w14:paraId="2CC28973">
      <w:pPr>
        <w:pStyle w:val="7"/>
        <w:jc w:val="center"/>
        <w:rPr>
          <w:b/>
          <w:sz w:val="48"/>
          <w:szCs w:val="40"/>
        </w:rPr>
      </w:pPr>
    </w:p>
    <w:p w14:paraId="3F80BE07">
      <w:pPr>
        <w:pStyle w:val="7"/>
        <w:jc w:val="center"/>
        <w:rPr>
          <w:b/>
          <w:sz w:val="48"/>
          <w:szCs w:val="40"/>
        </w:rPr>
      </w:pPr>
    </w:p>
    <w:p w14:paraId="763CB86D">
      <w:pPr>
        <w:pStyle w:val="7"/>
        <w:jc w:val="center"/>
        <w:rPr>
          <w:b/>
          <w:sz w:val="48"/>
          <w:szCs w:val="40"/>
        </w:rPr>
      </w:pPr>
    </w:p>
    <w:p w14:paraId="7FD8F627">
      <w:pPr>
        <w:pStyle w:val="7"/>
        <w:jc w:val="center"/>
        <w:rPr>
          <w:b/>
          <w:sz w:val="48"/>
          <w:szCs w:val="40"/>
        </w:rPr>
      </w:pPr>
    </w:p>
    <w:p w14:paraId="0B529219">
      <w:pPr>
        <w:pStyle w:val="7"/>
        <w:jc w:val="center"/>
        <w:rPr>
          <w:b/>
          <w:sz w:val="48"/>
          <w:szCs w:val="40"/>
        </w:rPr>
      </w:pPr>
    </w:p>
    <w:p w14:paraId="656509FA">
      <w:pPr>
        <w:pStyle w:val="7"/>
        <w:jc w:val="center"/>
        <w:rPr>
          <w:b/>
          <w:sz w:val="48"/>
          <w:szCs w:val="40"/>
        </w:rPr>
      </w:pPr>
    </w:p>
    <w:p w14:paraId="0D923DAE">
      <w:pPr>
        <w:pStyle w:val="7"/>
        <w:jc w:val="center"/>
        <w:rPr>
          <w:b/>
          <w:sz w:val="48"/>
          <w:szCs w:val="40"/>
        </w:rPr>
      </w:pPr>
    </w:p>
    <w:p w14:paraId="63C5D819">
      <w:pPr>
        <w:pStyle w:val="7"/>
        <w:jc w:val="center"/>
        <w:rPr>
          <w:b/>
          <w:sz w:val="48"/>
          <w:szCs w:val="40"/>
        </w:rPr>
      </w:pPr>
    </w:p>
    <w:p w14:paraId="1FCFC464">
      <w:pPr>
        <w:pStyle w:val="7"/>
        <w:jc w:val="center"/>
        <w:rPr>
          <w:rFonts w:hint="eastAsia"/>
          <w:b/>
          <w:sz w:val="48"/>
          <w:szCs w:val="40"/>
        </w:rPr>
      </w:pPr>
    </w:p>
    <w:p w14:paraId="4D4F9484">
      <w:pPr>
        <w:pStyle w:val="7"/>
        <w:jc w:val="center"/>
        <w:rPr>
          <w:rFonts w:hint="eastAsia"/>
          <w:b/>
          <w:sz w:val="56"/>
          <w:szCs w:val="48"/>
        </w:rPr>
      </w:pPr>
      <w:r>
        <w:rPr>
          <w:rFonts w:hint="eastAsia"/>
          <w:b/>
          <w:sz w:val="52"/>
          <w:szCs w:val="44"/>
        </w:rPr>
        <w:t xml:space="preserve"> </w:t>
      </w:r>
      <w:r>
        <w:rPr>
          <w:rFonts w:hint="eastAsia"/>
          <w:b/>
          <w:sz w:val="56"/>
          <w:szCs w:val="48"/>
        </w:rPr>
        <w:t>报价文件格式</w:t>
      </w:r>
    </w:p>
    <w:p w14:paraId="060AE986">
      <w:pPr>
        <w:pStyle w:val="7"/>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7"/>
        <w:jc w:val="center"/>
        <w:rPr>
          <w:b/>
          <w:sz w:val="44"/>
          <w:szCs w:val="36"/>
        </w:rPr>
      </w:pPr>
    </w:p>
    <w:p w14:paraId="02D476A6">
      <w:pPr>
        <w:pStyle w:val="7"/>
        <w:jc w:val="center"/>
        <w:rPr>
          <w:b/>
          <w:sz w:val="44"/>
          <w:szCs w:val="36"/>
        </w:rPr>
      </w:pPr>
    </w:p>
    <w:p w14:paraId="49BF47B9">
      <w:pPr>
        <w:pStyle w:val="7"/>
        <w:jc w:val="center"/>
        <w:rPr>
          <w:b/>
          <w:sz w:val="44"/>
          <w:szCs w:val="36"/>
        </w:rPr>
      </w:pPr>
    </w:p>
    <w:p w14:paraId="5394164E">
      <w:pPr>
        <w:pStyle w:val="7"/>
        <w:jc w:val="center"/>
        <w:rPr>
          <w:b/>
          <w:sz w:val="44"/>
          <w:szCs w:val="36"/>
        </w:rPr>
      </w:pPr>
    </w:p>
    <w:p w14:paraId="4570D53B">
      <w:pPr>
        <w:pStyle w:val="7"/>
        <w:jc w:val="center"/>
        <w:rPr>
          <w:b/>
          <w:sz w:val="44"/>
          <w:szCs w:val="36"/>
        </w:rPr>
      </w:pPr>
    </w:p>
    <w:p w14:paraId="25392A60">
      <w:pPr>
        <w:pStyle w:val="7"/>
        <w:jc w:val="center"/>
        <w:rPr>
          <w:b/>
          <w:sz w:val="44"/>
          <w:szCs w:val="36"/>
        </w:rPr>
      </w:pPr>
    </w:p>
    <w:p w14:paraId="49A58C04">
      <w:pPr>
        <w:pStyle w:val="7"/>
        <w:jc w:val="center"/>
        <w:rPr>
          <w:b/>
          <w:sz w:val="44"/>
          <w:szCs w:val="36"/>
        </w:rPr>
      </w:pPr>
    </w:p>
    <w:p w14:paraId="17D13CBC">
      <w:pPr>
        <w:pStyle w:val="7"/>
        <w:jc w:val="center"/>
        <w:rPr>
          <w:b/>
          <w:sz w:val="44"/>
          <w:szCs w:val="36"/>
        </w:rPr>
      </w:pPr>
    </w:p>
    <w:p w14:paraId="1E10EDF3">
      <w:pPr>
        <w:pStyle w:val="7"/>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7"/>
        <w:rPr>
          <w:sz w:val="24"/>
          <w:szCs w:val="24"/>
        </w:rPr>
      </w:pPr>
    </w:p>
    <w:p w14:paraId="12209BF0">
      <w:pPr>
        <w:pStyle w:val="7"/>
        <w:rPr>
          <w:sz w:val="24"/>
          <w:szCs w:val="24"/>
        </w:rPr>
      </w:pPr>
    </w:p>
    <w:p w14:paraId="06FF3462">
      <w:pPr>
        <w:pStyle w:val="7"/>
        <w:rPr>
          <w:sz w:val="24"/>
          <w:szCs w:val="24"/>
        </w:rPr>
      </w:pPr>
    </w:p>
    <w:p w14:paraId="07FBBC3F">
      <w:pPr>
        <w:pStyle w:val="7"/>
        <w:rPr>
          <w:sz w:val="24"/>
          <w:szCs w:val="24"/>
        </w:rPr>
      </w:pPr>
    </w:p>
    <w:p w14:paraId="0AA53577">
      <w:pPr>
        <w:pStyle w:val="7"/>
        <w:rPr>
          <w:sz w:val="24"/>
          <w:szCs w:val="24"/>
        </w:rPr>
      </w:pPr>
    </w:p>
    <w:p w14:paraId="1C137EAD">
      <w:pPr>
        <w:pStyle w:val="7"/>
        <w:rPr>
          <w:sz w:val="24"/>
          <w:szCs w:val="24"/>
        </w:rPr>
      </w:pPr>
    </w:p>
    <w:p w14:paraId="72531295">
      <w:pPr>
        <w:pStyle w:val="7"/>
        <w:rPr>
          <w:sz w:val="24"/>
          <w:szCs w:val="24"/>
        </w:rPr>
      </w:pPr>
    </w:p>
    <w:p w14:paraId="52F4E7BB">
      <w:pPr>
        <w:pStyle w:val="7"/>
        <w:rPr>
          <w:sz w:val="24"/>
          <w:szCs w:val="24"/>
        </w:rPr>
      </w:pPr>
    </w:p>
    <w:p w14:paraId="2C206DBF">
      <w:pPr>
        <w:pStyle w:val="41"/>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7"/>
        <w:rPr>
          <w:sz w:val="24"/>
          <w:szCs w:val="24"/>
        </w:rPr>
      </w:pPr>
    </w:p>
    <w:p w14:paraId="32EB8D36">
      <w:pPr>
        <w:pStyle w:val="7"/>
        <w:rPr>
          <w:sz w:val="24"/>
          <w:szCs w:val="24"/>
        </w:rPr>
      </w:pPr>
    </w:p>
    <w:p w14:paraId="73418218">
      <w:pPr>
        <w:pStyle w:val="7"/>
        <w:rPr>
          <w:sz w:val="24"/>
          <w:szCs w:val="24"/>
        </w:rPr>
      </w:pPr>
    </w:p>
    <w:p w14:paraId="5656109E">
      <w:pPr>
        <w:pStyle w:val="7"/>
        <w:rPr>
          <w:sz w:val="24"/>
          <w:szCs w:val="24"/>
        </w:rPr>
      </w:pPr>
    </w:p>
    <w:p w14:paraId="4B4A401B">
      <w:pPr>
        <w:pStyle w:val="7"/>
        <w:rPr>
          <w:sz w:val="24"/>
          <w:szCs w:val="24"/>
        </w:rPr>
      </w:pPr>
    </w:p>
    <w:p w14:paraId="16E3B375">
      <w:pPr>
        <w:pStyle w:val="7"/>
        <w:rPr>
          <w:sz w:val="24"/>
          <w:szCs w:val="24"/>
        </w:rPr>
      </w:pPr>
    </w:p>
    <w:p w14:paraId="4EB65920">
      <w:pPr>
        <w:pStyle w:val="7"/>
        <w:rPr>
          <w:sz w:val="24"/>
          <w:szCs w:val="24"/>
        </w:rPr>
      </w:pPr>
    </w:p>
    <w:p w14:paraId="7DEE05E4">
      <w:pPr>
        <w:pStyle w:val="7"/>
        <w:rPr>
          <w:sz w:val="24"/>
          <w:szCs w:val="24"/>
        </w:rPr>
      </w:pPr>
    </w:p>
    <w:p w14:paraId="4EDCFDF8">
      <w:pPr>
        <w:pStyle w:val="7"/>
        <w:rPr>
          <w:sz w:val="24"/>
          <w:szCs w:val="24"/>
        </w:rPr>
      </w:pPr>
    </w:p>
    <w:p w14:paraId="1C7FBD22">
      <w:pPr>
        <w:pStyle w:val="7"/>
        <w:rPr>
          <w:sz w:val="24"/>
          <w:szCs w:val="24"/>
        </w:rPr>
      </w:pPr>
    </w:p>
    <w:p w14:paraId="63ABF27E">
      <w:pPr>
        <w:pStyle w:val="7"/>
        <w:rPr>
          <w:sz w:val="24"/>
          <w:szCs w:val="24"/>
        </w:rPr>
      </w:pPr>
    </w:p>
    <w:p w14:paraId="6D3746F4">
      <w:pPr>
        <w:pStyle w:val="7"/>
        <w:rPr>
          <w:sz w:val="24"/>
          <w:szCs w:val="24"/>
        </w:rPr>
      </w:pPr>
    </w:p>
    <w:p w14:paraId="436AA1AB">
      <w:pPr>
        <w:pStyle w:val="7"/>
        <w:rPr>
          <w:sz w:val="24"/>
          <w:szCs w:val="24"/>
        </w:rPr>
      </w:pPr>
    </w:p>
    <w:p w14:paraId="22412CDB">
      <w:pPr>
        <w:pStyle w:val="7"/>
        <w:rPr>
          <w:sz w:val="24"/>
          <w:szCs w:val="24"/>
        </w:rPr>
      </w:pPr>
    </w:p>
    <w:p w14:paraId="024F1B32">
      <w:pPr>
        <w:pStyle w:val="7"/>
        <w:rPr>
          <w:sz w:val="24"/>
          <w:szCs w:val="24"/>
        </w:rPr>
      </w:pPr>
    </w:p>
    <w:p w14:paraId="47EE6EE4">
      <w:pPr>
        <w:pStyle w:val="7"/>
        <w:rPr>
          <w:sz w:val="24"/>
          <w:szCs w:val="24"/>
        </w:rPr>
      </w:pPr>
    </w:p>
    <w:p w14:paraId="0C39A79C">
      <w:pPr>
        <w:pStyle w:val="7"/>
        <w:rPr>
          <w:sz w:val="24"/>
          <w:szCs w:val="24"/>
        </w:rPr>
      </w:pPr>
    </w:p>
    <w:p w14:paraId="18E912AB">
      <w:pPr>
        <w:pStyle w:val="7"/>
        <w:rPr>
          <w:sz w:val="24"/>
          <w:szCs w:val="24"/>
        </w:rPr>
      </w:pPr>
    </w:p>
    <w:p w14:paraId="2D6CEE59">
      <w:pPr>
        <w:pStyle w:val="7"/>
        <w:rPr>
          <w:sz w:val="24"/>
          <w:szCs w:val="24"/>
        </w:rPr>
      </w:pPr>
    </w:p>
    <w:p w14:paraId="2DACB372">
      <w:pPr>
        <w:pStyle w:val="7"/>
        <w:rPr>
          <w:sz w:val="24"/>
          <w:szCs w:val="24"/>
        </w:rPr>
      </w:pPr>
    </w:p>
    <w:p w14:paraId="31ECB35F">
      <w:pPr>
        <w:pStyle w:val="7"/>
        <w:rPr>
          <w:sz w:val="24"/>
          <w:szCs w:val="24"/>
        </w:rPr>
      </w:pPr>
    </w:p>
    <w:p w14:paraId="6BB80F19">
      <w:pPr>
        <w:pStyle w:val="7"/>
        <w:rPr>
          <w:sz w:val="24"/>
          <w:szCs w:val="24"/>
        </w:rPr>
      </w:pPr>
    </w:p>
    <w:p w14:paraId="1BF63744">
      <w:pPr>
        <w:pStyle w:val="7"/>
        <w:rPr>
          <w:sz w:val="24"/>
          <w:szCs w:val="24"/>
        </w:rPr>
      </w:pPr>
    </w:p>
    <w:p w14:paraId="339C0DF6">
      <w:pPr>
        <w:pStyle w:val="7"/>
        <w:rPr>
          <w:sz w:val="24"/>
          <w:szCs w:val="24"/>
        </w:rPr>
      </w:pPr>
    </w:p>
    <w:p w14:paraId="64722392">
      <w:pPr>
        <w:pStyle w:val="7"/>
        <w:rPr>
          <w:sz w:val="24"/>
          <w:szCs w:val="24"/>
        </w:rPr>
      </w:pPr>
    </w:p>
    <w:p w14:paraId="0D9B1A37">
      <w:pPr>
        <w:pStyle w:val="7"/>
        <w:rPr>
          <w:sz w:val="24"/>
          <w:szCs w:val="24"/>
        </w:rPr>
      </w:pPr>
    </w:p>
    <w:p w14:paraId="7ACDC200">
      <w:pPr>
        <w:pStyle w:val="7"/>
        <w:rPr>
          <w:sz w:val="24"/>
          <w:szCs w:val="24"/>
        </w:rPr>
      </w:pPr>
    </w:p>
    <w:p w14:paraId="555BAD77">
      <w:pPr>
        <w:pStyle w:val="7"/>
        <w:rPr>
          <w:sz w:val="24"/>
          <w:szCs w:val="24"/>
        </w:rPr>
      </w:pPr>
    </w:p>
    <w:p w14:paraId="50298D57">
      <w:pPr>
        <w:pStyle w:val="7"/>
        <w:rPr>
          <w:sz w:val="24"/>
          <w:szCs w:val="24"/>
        </w:rPr>
      </w:pPr>
    </w:p>
    <w:p w14:paraId="77C0623A">
      <w:pPr>
        <w:pStyle w:val="7"/>
        <w:rPr>
          <w:sz w:val="24"/>
          <w:szCs w:val="24"/>
        </w:rPr>
      </w:pPr>
    </w:p>
    <w:p w14:paraId="3B1CA22F">
      <w:pPr>
        <w:pStyle w:val="7"/>
        <w:rPr>
          <w:sz w:val="24"/>
          <w:szCs w:val="24"/>
        </w:rPr>
      </w:pPr>
    </w:p>
    <w:p w14:paraId="206EB449">
      <w:pPr>
        <w:pStyle w:val="7"/>
        <w:rPr>
          <w:sz w:val="24"/>
          <w:szCs w:val="24"/>
        </w:rPr>
      </w:pPr>
    </w:p>
    <w:p w14:paraId="1722A923">
      <w:pPr>
        <w:pStyle w:val="7"/>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7"/>
      </w:pPr>
    </w:p>
    <w:p w14:paraId="739584C9">
      <w:pPr>
        <w:pStyle w:val="7"/>
      </w:pPr>
    </w:p>
    <w:p w14:paraId="5C5EC382">
      <w:pPr>
        <w:pStyle w:val="7"/>
      </w:pPr>
    </w:p>
    <w:p w14:paraId="4D1E28EA">
      <w:pPr>
        <w:pStyle w:val="7"/>
      </w:pPr>
    </w:p>
    <w:p w14:paraId="135A2CC1">
      <w:pPr>
        <w:pStyle w:val="7"/>
      </w:pPr>
    </w:p>
    <w:p w14:paraId="4DFC9FDD">
      <w:pPr>
        <w:pStyle w:val="7"/>
      </w:pPr>
    </w:p>
    <w:p w14:paraId="60A282D9">
      <w:pPr>
        <w:pStyle w:val="7"/>
      </w:pPr>
    </w:p>
    <w:p w14:paraId="633D4097">
      <w:pPr>
        <w:pStyle w:val="7"/>
      </w:pPr>
    </w:p>
    <w:p w14:paraId="02E19134">
      <w:pPr>
        <w:pStyle w:val="7"/>
      </w:pPr>
    </w:p>
    <w:p w14:paraId="3BE28DBF">
      <w:pPr>
        <w:pStyle w:val="7"/>
      </w:pPr>
    </w:p>
    <w:p w14:paraId="4D4B07C8">
      <w:pPr>
        <w:pStyle w:val="7"/>
      </w:pPr>
    </w:p>
    <w:p w14:paraId="0683A70F">
      <w:pPr>
        <w:pStyle w:val="7"/>
      </w:pPr>
    </w:p>
    <w:p w14:paraId="58486291">
      <w:pPr>
        <w:pStyle w:val="7"/>
      </w:pPr>
    </w:p>
    <w:p w14:paraId="7EBF38F6">
      <w:pPr>
        <w:pStyle w:val="7"/>
      </w:pPr>
    </w:p>
    <w:p w14:paraId="0DEF85EC">
      <w:pPr>
        <w:pStyle w:val="7"/>
      </w:pPr>
    </w:p>
    <w:p w14:paraId="568AB681">
      <w:pPr>
        <w:pStyle w:val="7"/>
      </w:pPr>
    </w:p>
    <w:p w14:paraId="75CF8CCE">
      <w:pPr>
        <w:pStyle w:val="7"/>
      </w:pPr>
    </w:p>
    <w:p w14:paraId="43B506B2">
      <w:pPr>
        <w:pStyle w:val="7"/>
      </w:pPr>
    </w:p>
    <w:p w14:paraId="47DE2199">
      <w:pPr>
        <w:pStyle w:val="7"/>
      </w:pPr>
    </w:p>
    <w:p w14:paraId="71247007">
      <w:pPr>
        <w:pStyle w:val="7"/>
      </w:pPr>
    </w:p>
    <w:p w14:paraId="0CBD26D6">
      <w:pPr>
        <w:pStyle w:val="7"/>
      </w:pPr>
    </w:p>
    <w:p w14:paraId="10517574">
      <w:pPr>
        <w:pStyle w:val="7"/>
      </w:pPr>
    </w:p>
    <w:p w14:paraId="42AC2D8E">
      <w:pPr>
        <w:pStyle w:val="7"/>
      </w:pPr>
    </w:p>
    <w:p w14:paraId="7578E787">
      <w:pPr>
        <w:pStyle w:val="7"/>
      </w:pPr>
    </w:p>
    <w:p w14:paraId="63A1FEE1">
      <w:pPr>
        <w:pStyle w:val="7"/>
      </w:pPr>
    </w:p>
    <w:p w14:paraId="61FE5F38">
      <w:pPr>
        <w:pStyle w:val="7"/>
      </w:pPr>
    </w:p>
    <w:p w14:paraId="1A8AFCE7">
      <w:pPr>
        <w:pStyle w:val="7"/>
      </w:pPr>
    </w:p>
    <w:p w14:paraId="2008DA94">
      <w:pPr>
        <w:pStyle w:val="7"/>
      </w:pPr>
    </w:p>
    <w:p w14:paraId="3F793452">
      <w:pPr>
        <w:pStyle w:val="7"/>
      </w:pPr>
    </w:p>
    <w:p w14:paraId="10A56257">
      <w:pPr>
        <w:pStyle w:val="7"/>
      </w:pPr>
    </w:p>
    <w:p w14:paraId="6EF51BB8">
      <w:pPr>
        <w:pStyle w:val="7"/>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7"/>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618E503A">
      <w:pPr>
        <w:spacing w:line="360" w:lineRule="auto"/>
        <w:ind w:firstLine="600" w:firstLineChars="200"/>
        <w:contextualSpacing/>
        <w:jc w:val="left"/>
        <w:rPr>
          <w:rFonts w:ascii="宋体" w:hAnsi="Times New Roman" w:eastAsia="仿宋" w:cs="Times New Roman"/>
          <w:b/>
          <w:bCs/>
          <w:kern w:val="0"/>
          <w:sz w:val="30"/>
          <w:szCs w:val="32"/>
        </w:rPr>
      </w:pPr>
      <w:r>
        <w:rPr>
          <w:rFonts w:hint="eastAsia" w:ascii="仿宋" w:hAnsi="仿宋" w:eastAsia="仿宋" w:cs="仿宋_GB2312"/>
          <w:sz w:val="30"/>
          <w:szCs w:val="30"/>
        </w:rPr>
        <w:t>2.法人、其他组织投标时“我方”是指“我单位”，自然人投标时“我方”是指“本人”。</w:t>
      </w:r>
    </w:p>
    <w:p w14:paraId="09E1A88C">
      <w:pPr>
        <w:pStyle w:val="7"/>
      </w:pPr>
    </w:p>
    <w:p w14:paraId="3F5C69F4">
      <w:pPr>
        <w:jc w:val="left"/>
        <w:outlineLvl w:val="1"/>
        <w:rPr>
          <w:rFonts w:hint="eastAsia" w:ascii="仿宋" w:hAnsi="仿宋" w:eastAsia="仿宋" w:cs="Times New Roman"/>
          <w:b/>
          <w:sz w:val="36"/>
          <w:szCs w:val="21"/>
          <w:lang w:val="en-US" w:eastAsia="zh-CN"/>
        </w:rPr>
      </w:pP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33436BC2">
      <w:pPr>
        <w:jc w:val="left"/>
        <w:outlineLvl w:val="1"/>
        <w:rPr>
          <w:rFonts w:hint="eastAsia" w:ascii="仿宋" w:hAnsi="仿宋" w:eastAsia="仿宋" w:cs="Times New Roman"/>
          <w:b/>
          <w:sz w:val="28"/>
          <w:szCs w:val="18"/>
        </w:rPr>
      </w:pPr>
    </w:p>
    <w:p w14:paraId="55491F36">
      <w:pPr>
        <w:jc w:val="left"/>
        <w:outlineLvl w:val="1"/>
        <w:rPr>
          <w:rFonts w:hint="eastAsia" w:ascii="仿宋" w:hAnsi="仿宋" w:eastAsia="仿宋" w:cs="Times New Roman"/>
          <w:b/>
          <w:sz w:val="28"/>
          <w:szCs w:val="18"/>
        </w:rPr>
      </w:pPr>
    </w:p>
    <w:p w14:paraId="25224699">
      <w:pPr>
        <w:jc w:val="left"/>
        <w:outlineLvl w:val="1"/>
        <w:rPr>
          <w:rFonts w:hint="eastAsia" w:ascii="仿宋" w:hAnsi="仿宋" w:eastAsia="仿宋" w:cs="Times New Roman"/>
          <w:b/>
          <w:sz w:val="28"/>
          <w:szCs w:val="18"/>
        </w:rPr>
      </w:pPr>
    </w:p>
    <w:p w14:paraId="3EF89EAE">
      <w:pPr>
        <w:jc w:val="left"/>
        <w:outlineLvl w:val="1"/>
        <w:rPr>
          <w:rFonts w:hint="eastAsia" w:ascii="仿宋" w:hAnsi="仿宋" w:eastAsia="仿宋" w:cs="Times New Roman"/>
          <w:b/>
          <w:sz w:val="28"/>
          <w:szCs w:val="18"/>
        </w:rPr>
      </w:pPr>
    </w:p>
    <w:p w14:paraId="2006D35B">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8"/>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8"/>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8"/>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12786626">
      <w:pPr>
        <w:jc w:val="left"/>
        <w:outlineLvl w:val="1"/>
        <w:rPr>
          <w:rFonts w:ascii="仿宋" w:hAnsi="仿宋" w:eastAsia="仿宋" w:cs="Times New Roman"/>
          <w:b/>
          <w:sz w:val="36"/>
          <w:szCs w:val="21"/>
        </w:rPr>
      </w:pPr>
    </w:p>
    <w:p w14:paraId="3A2BDB42">
      <w:pPr>
        <w:jc w:val="left"/>
        <w:outlineLvl w:val="1"/>
        <w:rPr>
          <w:rFonts w:ascii="仿宋" w:hAnsi="仿宋" w:eastAsia="仿宋" w:cs="Times New Roman"/>
          <w:b/>
          <w:sz w:val="36"/>
          <w:szCs w:val="21"/>
        </w:rPr>
      </w:pPr>
    </w:p>
    <w:p w14:paraId="48243F0D">
      <w:pPr>
        <w:jc w:val="left"/>
        <w:outlineLvl w:val="1"/>
        <w:rPr>
          <w:rFonts w:ascii="仿宋" w:hAnsi="仿宋" w:eastAsia="仿宋" w:cs="Times New Roman"/>
          <w:b/>
          <w:sz w:val="36"/>
          <w:szCs w:val="21"/>
        </w:rPr>
      </w:pPr>
    </w:p>
    <w:p w14:paraId="62B5F71B">
      <w:pPr>
        <w:jc w:val="left"/>
        <w:outlineLvl w:val="1"/>
        <w:rPr>
          <w:rFonts w:ascii="仿宋" w:hAnsi="仿宋" w:eastAsia="仿宋" w:cs="Times New Roman"/>
          <w:b/>
          <w:sz w:val="36"/>
          <w:szCs w:val="21"/>
        </w:rPr>
      </w:pPr>
    </w:p>
    <w:p w14:paraId="3267EB42">
      <w:pPr>
        <w:jc w:val="left"/>
        <w:outlineLvl w:val="1"/>
        <w:rPr>
          <w:rFonts w:ascii="仿宋" w:hAnsi="仿宋" w:eastAsia="仿宋" w:cs="Times New Roman"/>
          <w:b/>
          <w:sz w:val="36"/>
          <w:szCs w:val="21"/>
        </w:rPr>
      </w:pPr>
    </w:p>
    <w:p w14:paraId="5A7000ED">
      <w:pPr>
        <w:jc w:val="left"/>
        <w:outlineLvl w:val="1"/>
        <w:rPr>
          <w:rFonts w:ascii="仿宋" w:hAnsi="仿宋" w:eastAsia="仿宋" w:cs="Times New Roman"/>
          <w:b/>
          <w:sz w:val="36"/>
          <w:szCs w:val="21"/>
        </w:rPr>
      </w:pPr>
    </w:p>
    <w:p w14:paraId="1D27E8B2">
      <w:pPr>
        <w:jc w:val="left"/>
        <w:outlineLvl w:val="1"/>
        <w:rPr>
          <w:rFonts w:ascii="仿宋" w:hAnsi="仿宋" w:eastAsia="仿宋" w:cs="Times New Roman"/>
          <w:b/>
          <w:sz w:val="36"/>
          <w:szCs w:val="21"/>
        </w:rPr>
      </w:pPr>
    </w:p>
    <w:p w14:paraId="30EE97CD">
      <w:pPr>
        <w:jc w:val="left"/>
        <w:outlineLvl w:val="1"/>
        <w:rPr>
          <w:rFonts w:ascii="仿宋" w:hAnsi="仿宋" w:eastAsia="仿宋" w:cs="Times New Roman"/>
          <w:b/>
          <w:sz w:val="36"/>
          <w:szCs w:val="21"/>
        </w:rPr>
      </w:pPr>
    </w:p>
    <w:p w14:paraId="6C69AFE3">
      <w:pPr>
        <w:jc w:val="left"/>
        <w:outlineLvl w:val="1"/>
        <w:rPr>
          <w:rFonts w:ascii="仿宋" w:hAnsi="仿宋" w:eastAsia="仿宋" w:cs="Times New Roman"/>
          <w:b/>
          <w:sz w:val="36"/>
          <w:szCs w:val="21"/>
        </w:rPr>
      </w:pPr>
    </w:p>
    <w:p w14:paraId="76B9A6AC">
      <w:pPr>
        <w:jc w:val="left"/>
        <w:outlineLvl w:val="1"/>
        <w:rPr>
          <w:rFonts w:ascii="仿宋" w:hAnsi="仿宋" w:eastAsia="仿宋" w:cs="Times New Roman"/>
          <w:b/>
          <w:sz w:val="36"/>
          <w:szCs w:val="21"/>
        </w:rPr>
      </w:pPr>
    </w:p>
    <w:p w14:paraId="68802735">
      <w:pPr>
        <w:jc w:val="left"/>
        <w:outlineLvl w:val="1"/>
        <w:rPr>
          <w:rFonts w:ascii="仿宋" w:hAnsi="仿宋" w:eastAsia="仿宋" w:cs="Times New Roman"/>
          <w:b/>
          <w:sz w:val="36"/>
          <w:szCs w:val="21"/>
        </w:rPr>
      </w:pPr>
    </w:p>
    <w:p w14:paraId="40B140EF">
      <w:pPr>
        <w:jc w:val="left"/>
        <w:outlineLvl w:val="1"/>
        <w:rPr>
          <w:rFonts w:ascii="仿宋" w:hAnsi="仿宋" w:eastAsia="仿宋" w:cs="Times New Roman"/>
          <w:b/>
          <w:sz w:val="36"/>
          <w:szCs w:val="21"/>
        </w:rPr>
      </w:pPr>
    </w:p>
    <w:p w14:paraId="06760CCC">
      <w:pPr>
        <w:jc w:val="left"/>
        <w:outlineLvl w:val="1"/>
        <w:rPr>
          <w:rFonts w:ascii="仿宋" w:hAnsi="仿宋" w:eastAsia="仿宋" w:cs="Times New Roman"/>
          <w:b/>
          <w:sz w:val="36"/>
          <w:szCs w:val="21"/>
        </w:rPr>
      </w:pPr>
    </w:p>
    <w:p w14:paraId="46D33F25">
      <w:pPr>
        <w:jc w:val="left"/>
        <w:outlineLvl w:val="1"/>
        <w:rPr>
          <w:rFonts w:ascii="仿宋" w:hAnsi="仿宋" w:eastAsia="仿宋" w:cs="Times New Roman"/>
          <w:b/>
          <w:sz w:val="36"/>
          <w:szCs w:val="21"/>
        </w:rPr>
      </w:pPr>
    </w:p>
    <w:p w14:paraId="1EB615F8">
      <w:pPr>
        <w:jc w:val="left"/>
        <w:outlineLvl w:val="1"/>
        <w:rPr>
          <w:rFonts w:ascii="仿宋" w:hAnsi="仿宋" w:eastAsia="仿宋" w:cs="Times New Roman"/>
          <w:b/>
          <w:sz w:val="36"/>
          <w:szCs w:val="21"/>
        </w:rPr>
      </w:pPr>
    </w:p>
    <w:p w14:paraId="4322EC94">
      <w:pPr>
        <w:jc w:val="left"/>
        <w:outlineLvl w:val="1"/>
        <w:rPr>
          <w:rFonts w:ascii="仿宋" w:hAnsi="仿宋" w:eastAsia="仿宋" w:cs="Times New Roman"/>
          <w:b/>
          <w:sz w:val="36"/>
          <w:szCs w:val="21"/>
        </w:rPr>
      </w:pPr>
    </w:p>
    <w:p w14:paraId="6013EC34">
      <w:pPr>
        <w:jc w:val="left"/>
        <w:outlineLvl w:val="1"/>
        <w:rPr>
          <w:rFonts w:ascii="仿宋" w:hAnsi="仿宋" w:eastAsia="仿宋" w:cs="Times New Roman"/>
          <w:b/>
          <w:sz w:val="36"/>
          <w:szCs w:val="21"/>
        </w:rPr>
      </w:pPr>
    </w:p>
    <w:p w14:paraId="277E798F">
      <w:pPr>
        <w:jc w:val="left"/>
        <w:outlineLvl w:val="1"/>
        <w:rPr>
          <w:rFonts w:ascii="仿宋" w:hAnsi="仿宋" w:eastAsia="仿宋" w:cs="Times New Roman"/>
          <w:b/>
          <w:sz w:val="36"/>
          <w:szCs w:val="21"/>
        </w:rPr>
      </w:pPr>
    </w:p>
    <w:p w14:paraId="4F75C783">
      <w:pPr>
        <w:jc w:val="left"/>
        <w:outlineLvl w:val="1"/>
        <w:rPr>
          <w:rFonts w:ascii="仿宋" w:hAnsi="仿宋" w:eastAsia="仿宋" w:cs="Times New Roman"/>
          <w:b/>
          <w:sz w:val="36"/>
          <w:szCs w:val="21"/>
        </w:rPr>
      </w:pPr>
    </w:p>
    <w:p w14:paraId="6C1B50E7">
      <w:pPr>
        <w:jc w:val="left"/>
        <w:outlineLvl w:val="1"/>
        <w:rPr>
          <w:rFonts w:ascii="仿宋" w:hAnsi="仿宋" w:eastAsia="仿宋" w:cs="Times New Roman"/>
          <w:b/>
          <w:sz w:val="36"/>
          <w:szCs w:val="21"/>
        </w:rPr>
      </w:pPr>
    </w:p>
    <w:p w14:paraId="27E05FE9">
      <w:pPr>
        <w:jc w:val="left"/>
        <w:outlineLvl w:val="1"/>
        <w:rPr>
          <w:rFonts w:ascii="仿宋" w:hAnsi="仿宋" w:eastAsia="仿宋" w:cs="Times New Roman"/>
          <w:b/>
          <w:sz w:val="36"/>
          <w:szCs w:val="21"/>
        </w:rPr>
      </w:pPr>
    </w:p>
    <w:p w14:paraId="31723F56">
      <w:pPr>
        <w:pStyle w:val="7"/>
        <w:numPr>
          <w:ilvl w:val="0"/>
          <w:numId w:val="0"/>
        </w:numPr>
        <w:jc w:val="left"/>
        <w:rPr>
          <w:rFonts w:hint="eastAsia"/>
          <w:b/>
          <w:sz w:val="36"/>
          <w:szCs w:val="36"/>
        </w:rPr>
      </w:pPr>
      <w:r>
        <w:rPr>
          <w:rFonts w:hint="eastAsia"/>
          <w:b/>
          <w:sz w:val="36"/>
          <w:szCs w:val="36"/>
          <w:lang w:val="en-US" w:eastAsia="zh-CN"/>
        </w:rPr>
        <w:t>8.报价表格式</w:t>
      </w:r>
    </w:p>
    <w:p w14:paraId="39527CE4">
      <w:pPr>
        <w:jc w:val="center"/>
        <w:rPr>
          <w:rFonts w:ascii="仿宋" w:hAnsi="仿宋" w:eastAsia="仿宋"/>
          <w:b/>
          <w:sz w:val="48"/>
          <w:szCs w:val="48"/>
        </w:rPr>
      </w:pPr>
      <w:r>
        <w:rPr>
          <w:rFonts w:ascii="仿宋" w:hAnsi="仿宋" w:eastAsia="仿宋"/>
          <w:b/>
          <w:sz w:val="40"/>
          <w:szCs w:val="40"/>
        </w:rPr>
        <w:t>报价表</w:t>
      </w:r>
    </w:p>
    <w:p w14:paraId="7DA7C6D5">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项目编号：</w:t>
      </w:r>
      <w:r>
        <w:rPr>
          <w:rFonts w:hint="eastAsia" w:ascii="仿宋" w:hAnsi="仿宋" w:eastAsia="仿宋"/>
          <w:sz w:val="30"/>
          <w:szCs w:val="30"/>
          <w:u w:val="single"/>
        </w:rPr>
        <w:t xml:space="preserve">                 </w:t>
      </w:r>
    </w:p>
    <w:p w14:paraId="139BC97F">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8"/>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6E9D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6AC74F62">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7AE6899F">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4197F1EF">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6AB6E0FF">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14C95317">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2ECC5AC7">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30FACA6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D2B76EF">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7BADA844">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3B7E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29B5099C">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3555CCE9">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3682FFCF">
            <w:pPr>
              <w:spacing w:line="360" w:lineRule="exact"/>
              <w:rPr>
                <w:rFonts w:ascii="仿宋" w:hAnsi="仿宋" w:eastAsia="仿宋" w:cs="Arial"/>
                <w:bCs/>
                <w:sz w:val="30"/>
                <w:szCs w:val="30"/>
              </w:rPr>
            </w:pPr>
          </w:p>
          <w:p w14:paraId="433C660C">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1E4F70E8">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8EC7BC5">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922C55D">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601BB4F0">
            <w:pPr>
              <w:widowControl/>
              <w:jc w:val="center"/>
              <w:textAlignment w:val="center"/>
              <w:rPr>
                <w:rFonts w:ascii="仿宋" w:hAnsi="仿宋" w:eastAsia="仿宋" w:cs="Arial"/>
                <w:bCs/>
                <w:sz w:val="30"/>
                <w:szCs w:val="30"/>
              </w:rPr>
            </w:pPr>
          </w:p>
        </w:tc>
      </w:tr>
      <w:tr w14:paraId="0FFFB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59DDF9E2">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047D59B1">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56B2B953">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F0FAC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6E47D3DD">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4FB83404">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514AC4D">
            <w:pPr>
              <w:widowControl/>
              <w:jc w:val="center"/>
              <w:textAlignment w:val="center"/>
              <w:rPr>
                <w:rFonts w:ascii="仿宋" w:hAnsi="仿宋" w:eastAsia="仿宋" w:cs="Arial"/>
                <w:bCs/>
                <w:sz w:val="30"/>
                <w:szCs w:val="30"/>
              </w:rPr>
            </w:pPr>
          </w:p>
        </w:tc>
      </w:tr>
      <w:tr w14:paraId="6130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1D4F4CFE">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0F6132C8">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7761F126">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C897AD4">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55B588C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01B47CBA">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EB16CE5">
            <w:pPr>
              <w:widowControl/>
              <w:jc w:val="center"/>
              <w:textAlignment w:val="center"/>
              <w:rPr>
                <w:rFonts w:ascii="仿宋" w:hAnsi="仿宋" w:eastAsia="仿宋" w:cs="Arial"/>
                <w:bCs/>
                <w:sz w:val="30"/>
                <w:szCs w:val="30"/>
              </w:rPr>
            </w:pPr>
          </w:p>
        </w:tc>
      </w:tr>
      <w:tr w14:paraId="7848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471E1A50">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558595B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2E5BA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610807D7">
            <w:pPr>
              <w:spacing w:line="360" w:lineRule="auto"/>
              <w:jc w:val="left"/>
              <w:rPr>
                <w:rFonts w:hint="eastAsia" w:ascii="仿宋" w:hAnsi="仿宋" w:eastAsia="仿宋" w:cs="Arial"/>
                <w:bCs/>
                <w:sz w:val="30"/>
                <w:szCs w:val="30"/>
              </w:rPr>
            </w:pPr>
            <w:r>
              <w:rPr>
                <w:rFonts w:hint="eastAsia" w:ascii="仿宋" w:hAnsi="仿宋" w:eastAsia="仿宋" w:cs="Arial"/>
                <w:bCs/>
                <w:sz w:val="30"/>
                <w:szCs w:val="30"/>
              </w:rPr>
              <w:t>交付时间：自合同签订之日起</w:t>
            </w:r>
            <w:r>
              <w:rPr>
                <w:rFonts w:hint="eastAsia" w:ascii="仿宋" w:hAnsi="仿宋" w:eastAsia="仿宋" w:cs="Arial"/>
                <w:b/>
                <w:bCs w:val="0"/>
                <w:sz w:val="30"/>
                <w:szCs w:val="30"/>
                <w:u w:val="single"/>
                <w:lang w:val="en-US" w:eastAsia="zh-CN"/>
              </w:rPr>
              <w:t xml:space="preserve">    </w:t>
            </w:r>
            <w:r>
              <w:rPr>
                <w:rFonts w:hint="eastAsia" w:ascii="仿宋" w:hAnsi="仿宋" w:eastAsia="仿宋" w:cs="Arial"/>
                <w:b/>
                <w:bCs w:val="0"/>
                <w:sz w:val="30"/>
                <w:szCs w:val="30"/>
                <w:u w:val="single"/>
              </w:rPr>
              <w:t>日内</w:t>
            </w:r>
            <w:r>
              <w:rPr>
                <w:rFonts w:hint="eastAsia" w:ascii="仿宋" w:hAnsi="仿宋" w:eastAsia="仿宋" w:cs="Arial"/>
                <w:bCs/>
                <w:sz w:val="30"/>
                <w:szCs w:val="30"/>
              </w:rPr>
              <w:t>验收合格并交付使用。</w:t>
            </w:r>
          </w:p>
          <w:p w14:paraId="7CBEEB9A">
            <w:pPr>
              <w:spacing w:line="360" w:lineRule="auto"/>
              <w:jc w:val="left"/>
              <w:rPr>
                <w:rFonts w:hint="default" w:ascii="仿宋" w:hAnsi="仿宋" w:eastAsia="仿宋" w:cs="Arial"/>
                <w:bCs/>
                <w:sz w:val="30"/>
                <w:szCs w:val="30"/>
                <w:lang w:val="en-US" w:eastAsia="zh-CN"/>
              </w:rPr>
            </w:pPr>
            <w:r>
              <w:rPr>
                <w:rFonts w:hint="eastAsia" w:ascii="仿宋" w:hAnsi="仿宋" w:eastAsia="仿宋" w:cs="Arial"/>
                <w:bCs/>
                <w:sz w:val="30"/>
                <w:szCs w:val="30"/>
                <w:lang w:val="en-US" w:eastAsia="zh-CN"/>
              </w:rPr>
              <w:t>服务期：</w:t>
            </w:r>
            <w:r>
              <w:rPr>
                <w:rFonts w:hint="eastAsia" w:ascii="仿宋" w:hAnsi="仿宋" w:eastAsia="仿宋" w:cs="Arial"/>
                <w:bCs/>
                <w:sz w:val="30"/>
                <w:szCs w:val="30"/>
              </w:rPr>
              <w:t>自验收合格并交付使用之日起</w:t>
            </w:r>
            <w:r>
              <w:rPr>
                <w:rFonts w:hint="eastAsia" w:ascii="仿宋" w:hAnsi="仿宋" w:eastAsia="仿宋" w:cs="Arial"/>
                <w:b/>
                <w:bCs w:val="0"/>
                <w:sz w:val="30"/>
                <w:szCs w:val="30"/>
                <w:u w:val="single"/>
                <w:lang w:val="en-US" w:eastAsia="zh-CN"/>
              </w:rPr>
              <w:t xml:space="preserve">      </w:t>
            </w:r>
            <w:r>
              <w:rPr>
                <w:rFonts w:hint="eastAsia" w:ascii="仿宋" w:hAnsi="仿宋" w:eastAsia="仿宋" w:cs="Arial"/>
                <w:bCs/>
                <w:sz w:val="30"/>
                <w:szCs w:val="30"/>
              </w:rPr>
              <w:t>年。</w:t>
            </w:r>
          </w:p>
          <w:p w14:paraId="49BBA929">
            <w:pPr>
              <w:spacing w:line="360" w:lineRule="auto"/>
              <w:jc w:val="left"/>
            </w:pPr>
            <w:r>
              <w:rPr>
                <w:rFonts w:hint="eastAsia" w:ascii="仿宋" w:hAnsi="仿宋" w:eastAsia="仿宋" w:cs="Arial"/>
                <w:bCs/>
                <w:sz w:val="30"/>
                <w:szCs w:val="30"/>
              </w:rPr>
              <w:t>质保期：自验收合格并交付使用之日起</w:t>
            </w:r>
            <w:r>
              <w:rPr>
                <w:rFonts w:hint="eastAsia" w:ascii="仿宋" w:hAnsi="仿宋" w:eastAsia="仿宋" w:cs="Arial"/>
                <w:b/>
                <w:bCs w:val="0"/>
                <w:sz w:val="30"/>
                <w:szCs w:val="30"/>
                <w:u w:val="single"/>
                <w:lang w:val="en-US" w:eastAsia="zh-CN"/>
              </w:rPr>
              <w:t xml:space="preserve">      </w:t>
            </w:r>
            <w:r>
              <w:rPr>
                <w:rFonts w:hint="eastAsia" w:ascii="仿宋" w:hAnsi="仿宋" w:eastAsia="仿宋" w:cs="Arial"/>
                <w:bCs/>
                <w:sz w:val="30"/>
                <w:szCs w:val="30"/>
              </w:rPr>
              <w:t>年。</w:t>
            </w:r>
          </w:p>
        </w:tc>
      </w:tr>
    </w:tbl>
    <w:p w14:paraId="206F260C">
      <w:pPr>
        <w:pStyle w:val="8"/>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6690F335">
      <w:pPr>
        <w:pStyle w:val="9"/>
        <w:ind w:left="5250"/>
      </w:pPr>
    </w:p>
    <w:p w14:paraId="6EAC096D">
      <w:pPr>
        <w:pStyle w:val="8"/>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4BE3F1C8">
      <w:pPr>
        <w:pStyle w:val="9"/>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7"/>
        <w:jc w:val="left"/>
      </w:pPr>
    </w:p>
    <w:p w14:paraId="09A9CBC3">
      <w:pPr>
        <w:pStyle w:val="7"/>
        <w:jc w:val="left"/>
      </w:pPr>
    </w:p>
    <w:p w14:paraId="26E994BA">
      <w:pPr>
        <w:pStyle w:val="7"/>
        <w:jc w:val="left"/>
      </w:pPr>
    </w:p>
    <w:p w14:paraId="6BA368F5">
      <w:pPr>
        <w:pStyle w:val="7"/>
        <w:numPr>
          <w:ilvl w:val="0"/>
          <w:numId w:val="0"/>
        </w:numPr>
        <w:ind w:leftChars="0"/>
        <w:jc w:val="left"/>
        <w:rPr>
          <w:rFonts w:hint="eastAsia"/>
          <w:b/>
          <w:sz w:val="36"/>
          <w:szCs w:val="36"/>
          <w:lang w:val="en-US" w:eastAsia="zh-CN"/>
        </w:rPr>
      </w:pPr>
    </w:p>
    <w:p w14:paraId="4905FA6F">
      <w:pPr>
        <w:pStyle w:val="7"/>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41CE2CC3">
      <w:pPr>
        <w:jc w:val="center"/>
        <w:rPr>
          <w:rFonts w:hint="default" w:ascii="仿宋" w:hAnsi="仿宋" w:eastAsia="仿宋"/>
          <w:b/>
          <w:sz w:val="40"/>
          <w:szCs w:val="40"/>
          <w:lang w:val="en-US" w:eastAsia="zh-CN"/>
        </w:rPr>
      </w:pPr>
      <w:r>
        <w:rPr>
          <w:rFonts w:hint="eastAsia" w:ascii="仿宋" w:hAnsi="仿宋" w:eastAsia="仿宋"/>
          <w:b/>
          <w:sz w:val="40"/>
          <w:szCs w:val="40"/>
          <w:lang w:val="en-US" w:eastAsia="zh-CN"/>
        </w:rPr>
        <w:t>商务、技术响应、偏离情况说明表格</w:t>
      </w:r>
    </w:p>
    <w:p w14:paraId="0E09BE0A">
      <w:pPr>
        <w:pStyle w:val="7"/>
        <w:numPr>
          <w:ilvl w:val="0"/>
          <w:numId w:val="0"/>
        </w:numPr>
        <w:ind w:leftChars="0"/>
        <w:jc w:val="left"/>
        <w:rPr>
          <w:rFonts w:hint="default"/>
          <w:b/>
          <w:sz w:val="36"/>
          <w:szCs w:val="36"/>
          <w:lang w:val="en-US" w:eastAsia="zh-CN"/>
        </w:rPr>
      </w:pPr>
    </w:p>
    <w:p w14:paraId="040EFC52">
      <w:pPr>
        <w:spacing w:before="156" w:beforeLines="50" w:after="156" w:afterLines="50" w:line="360" w:lineRule="exact"/>
        <w:rPr>
          <w:rFonts w:ascii="宋体" w:hAnsi="宋体"/>
          <w:sz w:val="28"/>
        </w:rPr>
      </w:pPr>
      <w:r>
        <w:rPr>
          <w:rFonts w:hint="eastAsia" w:ascii="宋体" w:hAnsi="宋体"/>
          <w:sz w:val="28"/>
        </w:rPr>
        <w:t>采购编号：</w:t>
      </w:r>
      <w:r>
        <w:rPr>
          <w:rFonts w:hint="eastAsia" w:ascii="宋体" w:hAnsi="宋体"/>
          <w:sz w:val="28"/>
          <w:u w:val="single"/>
        </w:rPr>
        <w:t xml:space="preserve">                       </w:t>
      </w:r>
      <w:r>
        <w:rPr>
          <w:rFonts w:hint="eastAsia" w:ascii="宋体" w:hAnsi="宋体"/>
          <w:sz w:val="28"/>
        </w:rPr>
        <w:t xml:space="preserve">         </w:t>
      </w:r>
    </w:p>
    <w:p w14:paraId="72EDF7BF">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6DC998B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7207982">
            <w:pPr>
              <w:adjustRightInd w:val="0"/>
              <w:snapToGrid w:val="0"/>
              <w:spacing w:line="300" w:lineRule="auto"/>
              <w:outlineLvl w:val="0"/>
              <w:rPr>
                <w:rFonts w:ascii="宋体" w:hAnsi="宋体"/>
                <w:sz w:val="24"/>
                <w:szCs w:val="24"/>
              </w:rPr>
            </w:pPr>
            <w:bookmarkStart w:id="2" w:name="_Toc405905876"/>
            <w:bookmarkStart w:id="3" w:name="_Toc254970729"/>
            <w:bookmarkStart w:id="4" w:name="_Toc254970588"/>
            <w:bookmarkStart w:id="5" w:name="_Toc171349578"/>
            <w:bookmarkStart w:id="6" w:name="_Toc173066401"/>
            <w:bookmarkStart w:id="7" w:name="_Toc173211900"/>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38C67B72">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51EECB40">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76B4A4BD">
            <w:pPr>
              <w:adjustRightInd w:val="0"/>
              <w:snapToGrid w:val="0"/>
              <w:spacing w:line="300" w:lineRule="auto"/>
              <w:jc w:val="center"/>
              <w:outlineLvl w:val="0"/>
              <w:rPr>
                <w:rFonts w:ascii="宋体" w:hAnsi="宋体"/>
                <w:sz w:val="24"/>
                <w:szCs w:val="24"/>
              </w:rPr>
            </w:pPr>
            <w:bookmarkStart w:id="8" w:name="_Toc173066404"/>
            <w:bookmarkStart w:id="9" w:name="_Toc171349581"/>
            <w:bookmarkStart w:id="10" w:name="_Toc173211903"/>
            <w:bookmarkStart w:id="11" w:name="_Toc254970591"/>
            <w:bookmarkStart w:id="12" w:name="_Toc405905879"/>
            <w:bookmarkStart w:id="13" w:name="_Toc254970732"/>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3CC77F53">
            <w:pPr>
              <w:adjustRightInd w:val="0"/>
              <w:snapToGrid w:val="0"/>
              <w:spacing w:line="300" w:lineRule="auto"/>
              <w:jc w:val="center"/>
              <w:outlineLvl w:val="0"/>
              <w:rPr>
                <w:rFonts w:ascii="宋体" w:hAnsi="宋体"/>
                <w:sz w:val="24"/>
                <w:szCs w:val="24"/>
              </w:rPr>
            </w:pPr>
            <w:bookmarkStart w:id="14" w:name="_Toc254970733"/>
            <w:bookmarkStart w:id="15" w:name="_Toc254970592"/>
            <w:bookmarkStart w:id="16" w:name="_Toc171349582"/>
            <w:bookmarkStart w:id="17" w:name="_Toc173066405"/>
            <w:bookmarkStart w:id="18" w:name="_Toc405905880"/>
            <w:bookmarkStart w:id="19" w:name="_Toc173211904"/>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70209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280D1DE9">
            <w:pPr>
              <w:adjustRightInd w:val="0"/>
              <w:snapToGrid w:val="0"/>
              <w:spacing w:line="240" w:lineRule="exact"/>
              <w:jc w:val="center"/>
              <w:outlineLvl w:val="0"/>
              <w:rPr>
                <w:rFonts w:ascii="宋体" w:hAnsi="宋体"/>
                <w:sz w:val="24"/>
                <w:szCs w:val="24"/>
              </w:rPr>
            </w:pPr>
            <w:bookmarkStart w:id="20" w:name="_Toc405905881"/>
            <w:bookmarkStart w:id="21" w:name="_Toc171349583"/>
            <w:r>
              <w:rPr>
                <w:rFonts w:hint="eastAsia" w:ascii="宋体" w:hAnsi="宋体"/>
                <w:sz w:val="24"/>
              </w:rPr>
              <w:t>商务部分</w:t>
            </w:r>
            <w:bookmarkEnd w:id="20"/>
            <w:bookmarkEnd w:id="21"/>
          </w:p>
        </w:tc>
      </w:tr>
      <w:tr w14:paraId="179C39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3EC72D59">
            <w:pPr>
              <w:adjustRightInd w:val="0"/>
              <w:snapToGrid w:val="0"/>
              <w:spacing w:line="240" w:lineRule="exact"/>
              <w:jc w:val="center"/>
              <w:outlineLvl w:val="0"/>
              <w:rPr>
                <w:rFonts w:ascii="宋体" w:hAnsi="宋体"/>
                <w:sz w:val="24"/>
                <w:szCs w:val="24"/>
              </w:rPr>
            </w:pPr>
            <w:bookmarkStart w:id="22" w:name="_Toc173211905"/>
            <w:bookmarkStart w:id="23" w:name="_Toc254970593"/>
            <w:bookmarkStart w:id="24" w:name="_Toc405905882"/>
            <w:bookmarkStart w:id="25" w:name="_Toc173066406"/>
            <w:bookmarkStart w:id="26" w:name="_Toc171349584"/>
            <w:bookmarkStart w:id="27" w:name="_Toc254970734"/>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7602D5E1">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CDD8D2D">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D62E48C">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B1DC60">
            <w:pPr>
              <w:adjustRightInd w:val="0"/>
              <w:snapToGrid w:val="0"/>
              <w:spacing w:line="240" w:lineRule="exact"/>
              <w:jc w:val="center"/>
              <w:outlineLvl w:val="0"/>
              <w:rPr>
                <w:rFonts w:ascii="宋体" w:hAnsi="宋体"/>
                <w:sz w:val="24"/>
                <w:szCs w:val="24"/>
              </w:rPr>
            </w:pPr>
          </w:p>
        </w:tc>
      </w:tr>
      <w:tr w14:paraId="227C89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45BAF9C">
            <w:pPr>
              <w:adjustRightInd w:val="0"/>
              <w:snapToGrid w:val="0"/>
              <w:spacing w:line="240" w:lineRule="exact"/>
              <w:jc w:val="center"/>
              <w:outlineLvl w:val="0"/>
              <w:rPr>
                <w:rFonts w:ascii="宋体" w:hAnsi="宋体"/>
                <w:sz w:val="24"/>
                <w:szCs w:val="24"/>
              </w:rPr>
            </w:pPr>
            <w:bookmarkStart w:id="28" w:name="_Toc254970735"/>
            <w:bookmarkStart w:id="29" w:name="_Toc173066407"/>
            <w:bookmarkStart w:id="30" w:name="_Toc171349585"/>
            <w:bookmarkStart w:id="31" w:name="_Toc405905883"/>
            <w:bookmarkStart w:id="32" w:name="_Toc173211906"/>
            <w:bookmarkStart w:id="33" w:name="_Toc254970594"/>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2D83FBD5">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BAAE30B">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A8D217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38E25AD">
            <w:pPr>
              <w:adjustRightInd w:val="0"/>
              <w:snapToGrid w:val="0"/>
              <w:spacing w:line="240" w:lineRule="exact"/>
              <w:jc w:val="center"/>
              <w:outlineLvl w:val="0"/>
              <w:rPr>
                <w:rFonts w:ascii="宋体" w:hAnsi="宋体"/>
                <w:sz w:val="24"/>
                <w:szCs w:val="24"/>
              </w:rPr>
            </w:pPr>
          </w:p>
        </w:tc>
      </w:tr>
      <w:tr w14:paraId="3A2F42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20B34E5">
            <w:pPr>
              <w:adjustRightInd w:val="0"/>
              <w:snapToGrid w:val="0"/>
              <w:spacing w:line="240" w:lineRule="exact"/>
              <w:jc w:val="center"/>
              <w:outlineLvl w:val="0"/>
              <w:rPr>
                <w:rFonts w:ascii="宋体" w:hAnsi="宋体"/>
                <w:sz w:val="24"/>
                <w:szCs w:val="24"/>
              </w:rPr>
            </w:pPr>
            <w:bookmarkStart w:id="34" w:name="_Toc171349586"/>
            <w:bookmarkStart w:id="35" w:name="_Toc254970736"/>
            <w:bookmarkStart w:id="36" w:name="_Toc173211907"/>
            <w:bookmarkStart w:id="37" w:name="_Toc254970595"/>
            <w:bookmarkStart w:id="38" w:name="_Toc405905884"/>
            <w:bookmarkStart w:id="39" w:name="_Toc173066408"/>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77ABDCF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31894D5">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649481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A098B63">
            <w:pPr>
              <w:adjustRightInd w:val="0"/>
              <w:snapToGrid w:val="0"/>
              <w:spacing w:line="240" w:lineRule="exact"/>
              <w:jc w:val="center"/>
              <w:outlineLvl w:val="0"/>
              <w:rPr>
                <w:rFonts w:ascii="宋体" w:hAnsi="宋体"/>
                <w:sz w:val="24"/>
                <w:szCs w:val="24"/>
              </w:rPr>
            </w:pPr>
          </w:p>
        </w:tc>
      </w:tr>
      <w:tr w14:paraId="7F57D0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A463E7C">
            <w:pPr>
              <w:adjustRightInd w:val="0"/>
              <w:snapToGrid w:val="0"/>
              <w:spacing w:line="240" w:lineRule="exact"/>
              <w:jc w:val="center"/>
              <w:outlineLvl w:val="0"/>
              <w:rPr>
                <w:rFonts w:ascii="宋体" w:hAnsi="宋体"/>
                <w:sz w:val="24"/>
                <w:szCs w:val="24"/>
              </w:rPr>
            </w:pPr>
            <w:bookmarkStart w:id="40" w:name="_Toc171349587"/>
            <w:bookmarkStart w:id="41" w:name="_Toc405905885"/>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791EE56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D56F28E">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F688878">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44D304E7">
            <w:pPr>
              <w:adjustRightInd w:val="0"/>
              <w:snapToGrid w:val="0"/>
              <w:spacing w:line="240" w:lineRule="exact"/>
              <w:jc w:val="center"/>
              <w:outlineLvl w:val="0"/>
              <w:rPr>
                <w:rFonts w:ascii="宋体" w:hAnsi="宋体"/>
                <w:sz w:val="24"/>
                <w:szCs w:val="24"/>
              </w:rPr>
            </w:pPr>
          </w:p>
        </w:tc>
      </w:tr>
      <w:tr w14:paraId="7771F7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3B0506B2">
            <w:pPr>
              <w:adjustRightInd w:val="0"/>
              <w:snapToGrid w:val="0"/>
              <w:spacing w:line="240" w:lineRule="exact"/>
              <w:jc w:val="center"/>
              <w:outlineLvl w:val="0"/>
              <w:rPr>
                <w:rFonts w:ascii="宋体" w:hAnsi="宋体"/>
                <w:sz w:val="24"/>
                <w:szCs w:val="24"/>
              </w:rPr>
            </w:pPr>
            <w:bookmarkStart w:id="42" w:name="_Toc171349588"/>
            <w:bookmarkStart w:id="43" w:name="_Toc405905886"/>
            <w:r>
              <w:rPr>
                <w:rFonts w:hint="eastAsia" w:ascii="宋体" w:hAnsi="宋体"/>
                <w:sz w:val="24"/>
              </w:rPr>
              <w:t>技术部分</w:t>
            </w:r>
            <w:bookmarkEnd w:id="42"/>
            <w:bookmarkEnd w:id="43"/>
          </w:p>
        </w:tc>
      </w:tr>
      <w:tr w14:paraId="55763F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1BB390F">
            <w:pPr>
              <w:adjustRightInd w:val="0"/>
              <w:snapToGrid w:val="0"/>
              <w:spacing w:line="240" w:lineRule="exact"/>
              <w:jc w:val="center"/>
              <w:outlineLvl w:val="0"/>
              <w:rPr>
                <w:rFonts w:ascii="宋体" w:hAnsi="宋体"/>
                <w:sz w:val="24"/>
                <w:szCs w:val="24"/>
              </w:rPr>
            </w:pPr>
            <w:bookmarkStart w:id="44" w:name="_Toc405905887"/>
            <w:bookmarkStart w:id="45" w:name="_Toc171349589"/>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7F2EDA00">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618DCB3E">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312BECDE">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819A1E2">
            <w:pPr>
              <w:adjustRightInd w:val="0"/>
              <w:snapToGrid w:val="0"/>
              <w:spacing w:line="240" w:lineRule="exact"/>
              <w:jc w:val="center"/>
              <w:outlineLvl w:val="0"/>
              <w:rPr>
                <w:rFonts w:ascii="宋体" w:hAnsi="宋体"/>
                <w:sz w:val="24"/>
                <w:szCs w:val="24"/>
              </w:rPr>
            </w:pPr>
          </w:p>
        </w:tc>
      </w:tr>
      <w:tr w14:paraId="7D32FE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3613B94F">
            <w:pPr>
              <w:adjustRightInd w:val="0"/>
              <w:snapToGrid w:val="0"/>
              <w:spacing w:line="240" w:lineRule="exact"/>
              <w:jc w:val="center"/>
              <w:outlineLvl w:val="0"/>
              <w:rPr>
                <w:rFonts w:ascii="宋体" w:hAnsi="宋体"/>
                <w:sz w:val="24"/>
                <w:szCs w:val="24"/>
              </w:rPr>
            </w:pPr>
            <w:bookmarkStart w:id="46" w:name="_Toc171349590"/>
            <w:bookmarkStart w:id="47" w:name="_Toc405905888"/>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3B3A617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8D234D8">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3F05B542">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D5D5ED8">
            <w:pPr>
              <w:adjustRightInd w:val="0"/>
              <w:snapToGrid w:val="0"/>
              <w:spacing w:line="240" w:lineRule="exact"/>
              <w:jc w:val="center"/>
              <w:outlineLvl w:val="0"/>
              <w:rPr>
                <w:rFonts w:ascii="宋体" w:hAnsi="宋体"/>
                <w:sz w:val="24"/>
                <w:szCs w:val="24"/>
              </w:rPr>
            </w:pPr>
          </w:p>
        </w:tc>
      </w:tr>
      <w:tr w14:paraId="4B9D68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5FA745FC">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296EA55E">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D7161E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C08F32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37637B0">
            <w:pPr>
              <w:adjustRightInd w:val="0"/>
              <w:snapToGrid w:val="0"/>
              <w:spacing w:line="240" w:lineRule="exact"/>
              <w:jc w:val="center"/>
              <w:outlineLvl w:val="0"/>
              <w:rPr>
                <w:rFonts w:ascii="宋体" w:hAnsi="宋体"/>
                <w:sz w:val="24"/>
                <w:szCs w:val="24"/>
              </w:rPr>
            </w:pPr>
          </w:p>
        </w:tc>
      </w:tr>
      <w:tr w14:paraId="0A8588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10D86427">
            <w:pPr>
              <w:adjustRightInd w:val="0"/>
              <w:snapToGrid w:val="0"/>
              <w:spacing w:line="240" w:lineRule="exact"/>
              <w:jc w:val="center"/>
              <w:outlineLvl w:val="0"/>
              <w:rPr>
                <w:rFonts w:ascii="宋体" w:hAnsi="宋体"/>
                <w:sz w:val="24"/>
                <w:szCs w:val="24"/>
              </w:rPr>
            </w:pPr>
            <w:bookmarkStart w:id="50" w:name="_Toc171349592"/>
            <w:bookmarkStart w:id="51" w:name="_Toc405905890"/>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7C31969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12E6659A">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504FECCD">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174490E2">
            <w:pPr>
              <w:adjustRightInd w:val="0"/>
              <w:snapToGrid w:val="0"/>
              <w:spacing w:line="240" w:lineRule="exact"/>
              <w:jc w:val="center"/>
              <w:outlineLvl w:val="0"/>
              <w:rPr>
                <w:rFonts w:ascii="宋体" w:hAnsi="宋体"/>
                <w:sz w:val="24"/>
                <w:szCs w:val="24"/>
              </w:rPr>
            </w:pPr>
          </w:p>
        </w:tc>
      </w:tr>
    </w:tbl>
    <w:p w14:paraId="43EFAED7">
      <w:pPr>
        <w:adjustRightInd w:val="0"/>
        <w:snapToGrid w:val="0"/>
        <w:spacing w:line="460" w:lineRule="exact"/>
        <w:rPr>
          <w:rFonts w:ascii="宋体" w:hAnsi="宋体"/>
          <w:sz w:val="24"/>
        </w:rPr>
      </w:pPr>
      <w:r>
        <w:rPr>
          <w:rFonts w:hint="eastAsia" w:ascii="宋体" w:hAnsi="宋体"/>
          <w:sz w:val="24"/>
        </w:rPr>
        <w:t>说明：</w:t>
      </w:r>
    </w:p>
    <w:p w14:paraId="21404BEF">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4BDB75B7">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3076A1DF">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4F05B2D">
      <w:pPr>
        <w:pStyle w:val="7"/>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050930F8">
      <w:pPr>
        <w:pStyle w:val="7"/>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533C82A8">
      <w:pPr>
        <w:pStyle w:val="7"/>
        <w:jc w:val="left"/>
        <w:rPr>
          <w:rFonts w:ascii="宋体" w:hAnsi="宋体" w:cs="宋体"/>
          <w:b/>
          <w:sz w:val="24"/>
          <w:szCs w:val="24"/>
        </w:rPr>
      </w:pPr>
    </w:p>
    <w:p w14:paraId="27BCE4EC">
      <w:pPr>
        <w:pStyle w:val="7"/>
        <w:jc w:val="left"/>
        <w:rPr>
          <w:b/>
          <w:sz w:val="28"/>
          <w:szCs w:val="24"/>
        </w:rPr>
      </w:pPr>
      <w:r>
        <w:rPr>
          <w:rFonts w:hint="eastAsia" w:ascii="宋体" w:hAnsi="宋体" w:cs="宋体"/>
          <w:b/>
          <w:sz w:val="24"/>
          <w:szCs w:val="24"/>
        </w:rPr>
        <w:t xml:space="preserve">      　　　　　　　　　　　　　                           日期：   年  月  日</w:t>
      </w:r>
    </w:p>
    <w:sectPr>
      <w:footerReference r:id="rId3" w:type="default"/>
      <w:pgSz w:w="11906" w:h="16838"/>
      <w:pgMar w:top="567" w:right="566" w:bottom="567" w:left="284" w:header="85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76051496"/>
    </w:sdtPr>
    <w:sdtContent>
      <w:p w14:paraId="5A0281F3">
        <w:pPr>
          <w:pStyle w:val="11"/>
          <w:jc w:val="center"/>
        </w:pPr>
        <w:r>
          <w:fldChar w:fldCharType="begin"/>
        </w:r>
        <w:r>
          <w:instrText xml:space="preserve">PAGE   \* MERGEFORMAT</w:instrText>
        </w:r>
        <w:r>
          <w:fldChar w:fldCharType="separate"/>
        </w:r>
        <w:r>
          <w:rPr>
            <w:lang w:val="zh-CN"/>
          </w:rPr>
          <w:t>4</w:t>
        </w:r>
        <w:r>
          <w:fldChar w:fldCharType="end"/>
        </w:r>
      </w:p>
    </w:sdtContent>
  </w:sdt>
  <w:p w14:paraId="315C4317">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5EC817"/>
    <w:multiLevelType w:val="singleLevel"/>
    <w:tmpl w:val="8A5EC817"/>
    <w:lvl w:ilvl="0" w:tentative="0">
      <w:start w:val="1"/>
      <w:numFmt w:val="decimal"/>
      <w:lvlText w:val="%1."/>
      <w:lvlJc w:val="left"/>
      <w:pPr>
        <w:tabs>
          <w:tab w:val="left" w:pos="312"/>
        </w:tabs>
      </w:pPr>
    </w:lvl>
  </w:abstractNum>
  <w:abstractNum w:abstractNumId="1">
    <w:nsid w:val="113A1D32"/>
    <w:multiLevelType w:val="multilevel"/>
    <w:tmpl w:val="113A1D32"/>
    <w:lvl w:ilvl="0" w:tentative="0">
      <w:start w:val="1"/>
      <w:numFmt w:val="japaneseCounting"/>
      <w:lvlText w:val="%1、"/>
      <w:lvlJc w:val="left"/>
      <w:pPr>
        <w:ind w:left="432" w:hanging="432"/>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519128E"/>
    <w:multiLevelType w:val="singleLevel"/>
    <w:tmpl w:val="1519128E"/>
    <w:lvl w:ilvl="0" w:tentative="0">
      <w:start w:val="7"/>
      <w:numFmt w:val="decimal"/>
      <w:lvlText w:val="%1."/>
      <w:lvlJc w:val="left"/>
      <w:pPr>
        <w:tabs>
          <w:tab w:val="left" w:pos="312"/>
        </w:tabs>
      </w:pPr>
    </w:lvl>
  </w:abstractNum>
  <w:abstractNum w:abstractNumId="3">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abstractNum w:abstractNumId="4">
    <w:nsid w:val="699A7AF0"/>
    <w:multiLevelType w:val="multilevel"/>
    <w:tmpl w:val="699A7AF0"/>
    <w:lvl w:ilvl="0" w:tentative="0">
      <w:start w:val="1"/>
      <w:numFmt w:val="japaneseCounting"/>
      <w:lvlText w:val="%1、"/>
      <w:lvlJc w:val="left"/>
      <w:pPr>
        <w:ind w:left="720" w:hanging="720"/>
      </w:pPr>
      <w:rPr>
        <w:rFonts w:hint="default" w:cs="Times New Roman"/>
        <w:b w:val="0"/>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6BD"/>
    <w:rsid w:val="000018D7"/>
    <w:rsid w:val="00004473"/>
    <w:rsid w:val="000353E4"/>
    <w:rsid w:val="000371B6"/>
    <w:rsid w:val="00041884"/>
    <w:rsid w:val="00050574"/>
    <w:rsid w:val="00055D18"/>
    <w:rsid w:val="00085DC7"/>
    <w:rsid w:val="00091BBA"/>
    <w:rsid w:val="00093CB1"/>
    <w:rsid w:val="00097D3A"/>
    <w:rsid w:val="000A3C1B"/>
    <w:rsid w:val="000A5A19"/>
    <w:rsid w:val="000C12D4"/>
    <w:rsid w:val="000C7233"/>
    <w:rsid w:val="000E7B28"/>
    <w:rsid w:val="00103A4C"/>
    <w:rsid w:val="00110976"/>
    <w:rsid w:val="00125DE1"/>
    <w:rsid w:val="00134FBB"/>
    <w:rsid w:val="00137857"/>
    <w:rsid w:val="00147DB2"/>
    <w:rsid w:val="00161A9C"/>
    <w:rsid w:val="0016583F"/>
    <w:rsid w:val="00170FBE"/>
    <w:rsid w:val="001819B9"/>
    <w:rsid w:val="001871CC"/>
    <w:rsid w:val="001A3AD1"/>
    <w:rsid w:val="001B5FA5"/>
    <w:rsid w:val="001C3BDA"/>
    <w:rsid w:val="001D09A7"/>
    <w:rsid w:val="001D3CCC"/>
    <w:rsid w:val="001E526E"/>
    <w:rsid w:val="00203CF6"/>
    <w:rsid w:val="00223015"/>
    <w:rsid w:val="00245A85"/>
    <w:rsid w:val="0026380E"/>
    <w:rsid w:val="002720D2"/>
    <w:rsid w:val="002724AA"/>
    <w:rsid w:val="00284B2E"/>
    <w:rsid w:val="002E25C1"/>
    <w:rsid w:val="002E34A0"/>
    <w:rsid w:val="003005C7"/>
    <w:rsid w:val="003006F3"/>
    <w:rsid w:val="00302685"/>
    <w:rsid w:val="0031193C"/>
    <w:rsid w:val="003226FC"/>
    <w:rsid w:val="00335B09"/>
    <w:rsid w:val="003517AE"/>
    <w:rsid w:val="003841BF"/>
    <w:rsid w:val="0038781F"/>
    <w:rsid w:val="00392FB5"/>
    <w:rsid w:val="003A7361"/>
    <w:rsid w:val="003A778C"/>
    <w:rsid w:val="003B2D64"/>
    <w:rsid w:val="003B511D"/>
    <w:rsid w:val="003C27EA"/>
    <w:rsid w:val="003C6AF5"/>
    <w:rsid w:val="003D1DF7"/>
    <w:rsid w:val="003E013E"/>
    <w:rsid w:val="003F002C"/>
    <w:rsid w:val="003F4F5F"/>
    <w:rsid w:val="004215D2"/>
    <w:rsid w:val="00435A85"/>
    <w:rsid w:val="00445D2D"/>
    <w:rsid w:val="00450776"/>
    <w:rsid w:val="00473999"/>
    <w:rsid w:val="00475758"/>
    <w:rsid w:val="00477542"/>
    <w:rsid w:val="004808DC"/>
    <w:rsid w:val="00481096"/>
    <w:rsid w:val="00484983"/>
    <w:rsid w:val="004876BD"/>
    <w:rsid w:val="004A047B"/>
    <w:rsid w:val="004A144E"/>
    <w:rsid w:val="004A1686"/>
    <w:rsid w:val="004B0F43"/>
    <w:rsid w:val="004B399E"/>
    <w:rsid w:val="004B50B7"/>
    <w:rsid w:val="004B5C02"/>
    <w:rsid w:val="004B5D6F"/>
    <w:rsid w:val="004D39AE"/>
    <w:rsid w:val="004D71C9"/>
    <w:rsid w:val="004E47D4"/>
    <w:rsid w:val="004E56D9"/>
    <w:rsid w:val="004F4853"/>
    <w:rsid w:val="00504B78"/>
    <w:rsid w:val="00530FA9"/>
    <w:rsid w:val="00540D48"/>
    <w:rsid w:val="005417EA"/>
    <w:rsid w:val="00544392"/>
    <w:rsid w:val="00545F20"/>
    <w:rsid w:val="005527E5"/>
    <w:rsid w:val="005650AD"/>
    <w:rsid w:val="0056697D"/>
    <w:rsid w:val="00567370"/>
    <w:rsid w:val="0057651C"/>
    <w:rsid w:val="0058310B"/>
    <w:rsid w:val="00583B87"/>
    <w:rsid w:val="005912AA"/>
    <w:rsid w:val="00591B20"/>
    <w:rsid w:val="005A28E4"/>
    <w:rsid w:val="005A2C42"/>
    <w:rsid w:val="005B6934"/>
    <w:rsid w:val="005B7AD7"/>
    <w:rsid w:val="005C0A72"/>
    <w:rsid w:val="005D169E"/>
    <w:rsid w:val="005E6B06"/>
    <w:rsid w:val="00601983"/>
    <w:rsid w:val="00602370"/>
    <w:rsid w:val="00630019"/>
    <w:rsid w:val="00646167"/>
    <w:rsid w:val="00646BF7"/>
    <w:rsid w:val="00664795"/>
    <w:rsid w:val="00672F61"/>
    <w:rsid w:val="00677DB4"/>
    <w:rsid w:val="0068443C"/>
    <w:rsid w:val="006A4D42"/>
    <w:rsid w:val="006B482F"/>
    <w:rsid w:val="006C1152"/>
    <w:rsid w:val="006C7F0E"/>
    <w:rsid w:val="006E3DB3"/>
    <w:rsid w:val="006E627A"/>
    <w:rsid w:val="00704EEE"/>
    <w:rsid w:val="0071754A"/>
    <w:rsid w:val="007362D5"/>
    <w:rsid w:val="007368E8"/>
    <w:rsid w:val="00736FD4"/>
    <w:rsid w:val="00746EB5"/>
    <w:rsid w:val="00771256"/>
    <w:rsid w:val="00776334"/>
    <w:rsid w:val="00780E24"/>
    <w:rsid w:val="00787A90"/>
    <w:rsid w:val="007A1CED"/>
    <w:rsid w:val="007A25FA"/>
    <w:rsid w:val="007B3216"/>
    <w:rsid w:val="007F5CD8"/>
    <w:rsid w:val="007F67CC"/>
    <w:rsid w:val="00804F65"/>
    <w:rsid w:val="00842DFC"/>
    <w:rsid w:val="008450BD"/>
    <w:rsid w:val="00853E6F"/>
    <w:rsid w:val="00870FEB"/>
    <w:rsid w:val="00893A92"/>
    <w:rsid w:val="00895149"/>
    <w:rsid w:val="008A0B0E"/>
    <w:rsid w:val="008A0FDD"/>
    <w:rsid w:val="008E0AA6"/>
    <w:rsid w:val="009225D0"/>
    <w:rsid w:val="009225FE"/>
    <w:rsid w:val="009276C3"/>
    <w:rsid w:val="009449B4"/>
    <w:rsid w:val="00951FAE"/>
    <w:rsid w:val="00955C64"/>
    <w:rsid w:val="00967AD8"/>
    <w:rsid w:val="00967E5C"/>
    <w:rsid w:val="00980E85"/>
    <w:rsid w:val="00982041"/>
    <w:rsid w:val="00992C20"/>
    <w:rsid w:val="009B316D"/>
    <w:rsid w:val="009B56E3"/>
    <w:rsid w:val="009D231C"/>
    <w:rsid w:val="009D3F71"/>
    <w:rsid w:val="009E741C"/>
    <w:rsid w:val="009E7CDD"/>
    <w:rsid w:val="009F4293"/>
    <w:rsid w:val="009F61EB"/>
    <w:rsid w:val="00A02E6E"/>
    <w:rsid w:val="00A05B62"/>
    <w:rsid w:val="00A20C30"/>
    <w:rsid w:val="00A25CEF"/>
    <w:rsid w:val="00A4704C"/>
    <w:rsid w:val="00A5798F"/>
    <w:rsid w:val="00A64F73"/>
    <w:rsid w:val="00A669E2"/>
    <w:rsid w:val="00A92E08"/>
    <w:rsid w:val="00AA101B"/>
    <w:rsid w:val="00AB4824"/>
    <w:rsid w:val="00AC4444"/>
    <w:rsid w:val="00AC66CC"/>
    <w:rsid w:val="00AD3232"/>
    <w:rsid w:val="00AD3C1E"/>
    <w:rsid w:val="00AE5463"/>
    <w:rsid w:val="00AF4A09"/>
    <w:rsid w:val="00B02F55"/>
    <w:rsid w:val="00B07F1A"/>
    <w:rsid w:val="00B16D94"/>
    <w:rsid w:val="00B171A5"/>
    <w:rsid w:val="00B300A6"/>
    <w:rsid w:val="00B3500A"/>
    <w:rsid w:val="00B566C4"/>
    <w:rsid w:val="00B766AF"/>
    <w:rsid w:val="00B936BD"/>
    <w:rsid w:val="00BA1CC8"/>
    <w:rsid w:val="00BB7677"/>
    <w:rsid w:val="00C31B42"/>
    <w:rsid w:val="00C43775"/>
    <w:rsid w:val="00C460D6"/>
    <w:rsid w:val="00C53746"/>
    <w:rsid w:val="00C608B4"/>
    <w:rsid w:val="00C72A1B"/>
    <w:rsid w:val="00C9263A"/>
    <w:rsid w:val="00C928EB"/>
    <w:rsid w:val="00CB0563"/>
    <w:rsid w:val="00CB1097"/>
    <w:rsid w:val="00CD438B"/>
    <w:rsid w:val="00CF0708"/>
    <w:rsid w:val="00D137C2"/>
    <w:rsid w:val="00D21FA4"/>
    <w:rsid w:val="00D2458C"/>
    <w:rsid w:val="00D30EB7"/>
    <w:rsid w:val="00D47A16"/>
    <w:rsid w:val="00D53546"/>
    <w:rsid w:val="00D749F4"/>
    <w:rsid w:val="00D931C0"/>
    <w:rsid w:val="00D94717"/>
    <w:rsid w:val="00D94744"/>
    <w:rsid w:val="00DA141F"/>
    <w:rsid w:val="00DD299E"/>
    <w:rsid w:val="00DD2AF4"/>
    <w:rsid w:val="00DE1083"/>
    <w:rsid w:val="00DF1487"/>
    <w:rsid w:val="00E126EC"/>
    <w:rsid w:val="00E364D2"/>
    <w:rsid w:val="00E5096A"/>
    <w:rsid w:val="00E55527"/>
    <w:rsid w:val="00E70646"/>
    <w:rsid w:val="00EA6ED2"/>
    <w:rsid w:val="00EB66A6"/>
    <w:rsid w:val="00F04090"/>
    <w:rsid w:val="00F13735"/>
    <w:rsid w:val="00F2656E"/>
    <w:rsid w:val="00F37774"/>
    <w:rsid w:val="00F50F96"/>
    <w:rsid w:val="00F51F16"/>
    <w:rsid w:val="00F53703"/>
    <w:rsid w:val="00F73AA4"/>
    <w:rsid w:val="00F762F8"/>
    <w:rsid w:val="00F9005E"/>
    <w:rsid w:val="00FA0419"/>
    <w:rsid w:val="00FB08FE"/>
    <w:rsid w:val="00FB25A3"/>
    <w:rsid w:val="00FC331E"/>
    <w:rsid w:val="00FD5DFE"/>
    <w:rsid w:val="00FE1249"/>
    <w:rsid w:val="00FE2318"/>
    <w:rsid w:val="00FE52AD"/>
    <w:rsid w:val="00FE5CFF"/>
    <w:rsid w:val="015E4ACC"/>
    <w:rsid w:val="01675F05"/>
    <w:rsid w:val="05B955A9"/>
    <w:rsid w:val="07AB7634"/>
    <w:rsid w:val="08D72D69"/>
    <w:rsid w:val="09ED206A"/>
    <w:rsid w:val="0B0E0E59"/>
    <w:rsid w:val="0C911AFA"/>
    <w:rsid w:val="0C987A2B"/>
    <w:rsid w:val="0D4A5EC4"/>
    <w:rsid w:val="0D642013"/>
    <w:rsid w:val="0DE15120"/>
    <w:rsid w:val="0E80608C"/>
    <w:rsid w:val="0F7909A8"/>
    <w:rsid w:val="0F9F3F3B"/>
    <w:rsid w:val="0FA77635"/>
    <w:rsid w:val="0FE93A22"/>
    <w:rsid w:val="105D1B31"/>
    <w:rsid w:val="10823D2C"/>
    <w:rsid w:val="111F5F06"/>
    <w:rsid w:val="17307903"/>
    <w:rsid w:val="17CF0A73"/>
    <w:rsid w:val="1A234A35"/>
    <w:rsid w:val="1A4772B8"/>
    <w:rsid w:val="1A675CCB"/>
    <w:rsid w:val="1AAB0964"/>
    <w:rsid w:val="1B912C21"/>
    <w:rsid w:val="1D34665C"/>
    <w:rsid w:val="1F2D6B06"/>
    <w:rsid w:val="1F752E36"/>
    <w:rsid w:val="1FB32F32"/>
    <w:rsid w:val="22A52928"/>
    <w:rsid w:val="234A77AC"/>
    <w:rsid w:val="236679A8"/>
    <w:rsid w:val="23BD0B35"/>
    <w:rsid w:val="24F97B42"/>
    <w:rsid w:val="252218B8"/>
    <w:rsid w:val="25EA35B4"/>
    <w:rsid w:val="26C42800"/>
    <w:rsid w:val="28D91AAD"/>
    <w:rsid w:val="2B231679"/>
    <w:rsid w:val="2B4C3707"/>
    <w:rsid w:val="2B5B3134"/>
    <w:rsid w:val="2C8F0B18"/>
    <w:rsid w:val="2E8C0724"/>
    <w:rsid w:val="303A0730"/>
    <w:rsid w:val="30CB108C"/>
    <w:rsid w:val="316424EB"/>
    <w:rsid w:val="33194A17"/>
    <w:rsid w:val="33404954"/>
    <w:rsid w:val="342658CA"/>
    <w:rsid w:val="35417A73"/>
    <w:rsid w:val="354B6B44"/>
    <w:rsid w:val="37FC2926"/>
    <w:rsid w:val="39124E76"/>
    <w:rsid w:val="39AD74AC"/>
    <w:rsid w:val="3A6462DF"/>
    <w:rsid w:val="3D271595"/>
    <w:rsid w:val="3D346110"/>
    <w:rsid w:val="3EA877F7"/>
    <w:rsid w:val="40A908BA"/>
    <w:rsid w:val="42B00AEF"/>
    <w:rsid w:val="43F31A7A"/>
    <w:rsid w:val="4405042F"/>
    <w:rsid w:val="45167E8A"/>
    <w:rsid w:val="45A73113"/>
    <w:rsid w:val="469817EC"/>
    <w:rsid w:val="478D0171"/>
    <w:rsid w:val="47901929"/>
    <w:rsid w:val="47927B3B"/>
    <w:rsid w:val="48B359D7"/>
    <w:rsid w:val="49B87801"/>
    <w:rsid w:val="4AB3020D"/>
    <w:rsid w:val="4C11616D"/>
    <w:rsid w:val="4D636815"/>
    <w:rsid w:val="4D685148"/>
    <w:rsid w:val="4DD7293B"/>
    <w:rsid w:val="4E0105DF"/>
    <w:rsid w:val="4E281379"/>
    <w:rsid w:val="4E493DD8"/>
    <w:rsid w:val="51035AA2"/>
    <w:rsid w:val="51E25CD6"/>
    <w:rsid w:val="56B8755F"/>
    <w:rsid w:val="572823EA"/>
    <w:rsid w:val="57FA1950"/>
    <w:rsid w:val="58A404BF"/>
    <w:rsid w:val="58B8511B"/>
    <w:rsid w:val="5B2F49C1"/>
    <w:rsid w:val="5C154ADB"/>
    <w:rsid w:val="5C1C2E1C"/>
    <w:rsid w:val="5CE220FC"/>
    <w:rsid w:val="5CE62B2B"/>
    <w:rsid w:val="5D9E2C70"/>
    <w:rsid w:val="5DFD28D7"/>
    <w:rsid w:val="5EC6574C"/>
    <w:rsid w:val="61106D89"/>
    <w:rsid w:val="618447CC"/>
    <w:rsid w:val="63772297"/>
    <w:rsid w:val="63EE34BC"/>
    <w:rsid w:val="64D47A6E"/>
    <w:rsid w:val="66B83C92"/>
    <w:rsid w:val="66D00829"/>
    <w:rsid w:val="68A43AD7"/>
    <w:rsid w:val="6C1A549F"/>
    <w:rsid w:val="6E8B52E0"/>
    <w:rsid w:val="7066285B"/>
    <w:rsid w:val="70BA2651"/>
    <w:rsid w:val="7296084D"/>
    <w:rsid w:val="72E871A5"/>
    <w:rsid w:val="733A21E7"/>
    <w:rsid w:val="75106CE6"/>
    <w:rsid w:val="75822D8C"/>
    <w:rsid w:val="75AA195E"/>
    <w:rsid w:val="78A6113B"/>
    <w:rsid w:val="79ED58B2"/>
    <w:rsid w:val="7A3B3DB2"/>
    <w:rsid w:val="7A8770A4"/>
    <w:rsid w:val="7BA30B19"/>
    <w:rsid w:val="7C0E5F18"/>
    <w:rsid w:val="7C686C61"/>
    <w:rsid w:val="7C9557AD"/>
    <w:rsid w:val="7EC87E8B"/>
    <w:rsid w:val="7F7B2350"/>
    <w:rsid w:val="B4BC3127"/>
    <w:rsid w:val="DFDD0264"/>
    <w:rsid w:val="FE4EF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2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semiHidden/>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kern w:val="0"/>
      <w:sz w:val="20"/>
      <w:szCs w:val="20"/>
    </w:rPr>
  </w:style>
  <w:style w:type="paragraph" w:styleId="6">
    <w:name w:val="annotation text"/>
    <w:basedOn w:val="1"/>
    <w:link w:val="30"/>
    <w:semiHidden/>
    <w:unhideWhenUsed/>
    <w:qFormat/>
    <w:uiPriority w:val="99"/>
    <w:pPr>
      <w:jc w:val="left"/>
    </w:pPr>
  </w:style>
  <w:style w:type="paragraph" w:styleId="7">
    <w:name w:val="Body Text"/>
    <w:basedOn w:val="1"/>
    <w:link w:val="26"/>
    <w:unhideWhenUsed/>
    <w:qFormat/>
    <w:uiPriority w:val="99"/>
    <w:pPr>
      <w:spacing w:after="120"/>
    </w:pPr>
  </w:style>
  <w:style w:type="paragraph" w:styleId="8">
    <w:name w:val="Plain Text"/>
    <w:basedOn w:val="1"/>
    <w:next w:val="9"/>
    <w:link w:val="35"/>
    <w:qFormat/>
    <w:uiPriority w:val="0"/>
    <w:rPr>
      <w:rFonts w:ascii="宋体" w:hAnsi="Courier New"/>
    </w:rPr>
  </w:style>
  <w:style w:type="paragraph" w:styleId="9">
    <w:name w:val="Date"/>
    <w:basedOn w:val="1"/>
    <w:next w:val="1"/>
    <w:semiHidden/>
    <w:unhideWhenUsed/>
    <w:qFormat/>
    <w:uiPriority w:val="99"/>
    <w:pPr>
      <w:ind w:left="100" w:leftChars="2500"/>
    </w:pPr>
  </w:style>
  <w:style w:type="paragraph" w:styleId="10">
    <w:name w:val="Balloon Text"/>
    <w:basedOn w:val="1"/>
    <w:link w:val="32"/>
    <w:semiHidden/>
    <w:unhideWhenUsed/>
    <w:qFormat/>
    <w:uiPriority w:val="99"/>
    <w:rPr>
      <w:sz w:val="18"/>
      <w:szCs w:val="18"/>
    </w:rPr>
  </w:style>
  <w:style w:type="paragraph" w:styleId="11">
    <w:name w:val="footer"/>
    <w:basedOn w:val="1"/>
    <w:link w:val="29"/>
    <w:unhideWhenUsed/>
    <w:qFormat/>
    <w:uiPriority w:val="99"/>
    <w:pPr>
      <w:tabs>
        <w:tab w:val="center" w:pos="4153"/>
        <w:tab w:val="right" w:pos="8306"/>
      </w:tabs>
      <w:snapToGrid w:val="0"/>
      <w:jc w:val="left"/>
    </w:pPr>
    <w:rPr>
      <w:sz w:val="18"/>
      <w:szCs w:val="18"/>
    </w:rPr>
  </w:style>
  <w:style w:type="paragraph" w:styleId="12">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2"/>
    <w:basedOn w:val="1"/>
    <w:next w:val="1"/>
    <w:autoRedefine/>
    <w:semiHidden/>
    <w:unhideWhenUsed/>
    <w:qFormat/>
    <w:uiPriority w:val="39"/>
    <w:pPr>
      <w:ind w:left="420" w:leftChars="200"/>
    </w:pPr>
  </w:style>
  <w:style w:type="paragraph" w:styleId="14">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15">
    <w:name w:val="annotation subject"/>
    <w:basedOn w:val="6"/>
    <w:next w:val="6"/>
    <w:link w:val="31"/>
    <w:semiHidden/>
    <w:unhideWhenUsed/>
    <w:qFormat/>
    <w:uiPriority w:val="99"/>
    <w:rPr>
      <w:b/>
      <w:bCs/>
    </w:rPr>
  </w:style>
  <w:style w:type="paragraph" w:styleId="16">
    <w:name w:val="Body Text First Indent"/>
    <w:basedOn w:val="7"/>
    <w:link w:val="27"/>
    <w:unhideWhenUsed/>
    <w:qFormat/>
    <w:uiPriority w:val="99"/>
    <w:pPr>
      <w:ind w:firstLine="420" w:firstLineChars="100"/>
    </w:pPr>
  </w:style>
  <w:style w:type="paragraph" w:styleId="17">
    <w:name w:val="Body Text First Indent 2"/>
    <w:basedOn w:val="1"/>
    <w:unhideWhenUsed/>
    <w:qFormat/>
    <w:uiPriority w:val="99"/>
    <w:pPr>
      <w:ind w:left="0" w:leftChars="0" w:firstLine="420" w:firstLineChars="200"/>
    </w:pPr>
    <w:rPr>
      <w:rFonts w:ascii="仿宋" w:hAnsi="仿宋"/>
    </w:rPr>
  </w:style>
  <w:style w:type="character" w:styleId="20">
    <w:name w:val="Strong"/>
    <w:basedOn w:val="19"/>
    <w:qFormat/>
    <w:uiPriority w:val="22"/>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styleId="22">
    <w:name w:val="annotation reference"/>
    <w:basedOn w:val="19"/>
    <w:unhideWhenUsed/>
    <w:qFormat/>
    <w:uiPriority w:val="99"/>
    <w:rPr>
      <w:sz w:val="21"/>
      <w:szCs w:val="21"/>
    </w:rPr>
  </w:style>
  <w:style w:type="character" w:customStyle="1" w:styleId="23">
    <w:name w:val="标题 2 Char"/>
    <w:basedOn w:val="19"/>
    <w:link w:val="3"/>
    <w:qFormat/>
    <w:uiPriority w:val="9"/>
    <w:rPr>
      <w:rFonts w:asciiTheme="majorHAnsi" w:hAnsiTheme="majorHAnsi" w:eastAsiaTheme="majorEastAsia" w:cstheme="majorBidi"/>
      <w:b/>
      <w:bCs/>
      <w:kern w:val="2"/>
      <w:sz w:val="32"/>
      <w:szCs w:val="32"/>
    </w:rPr>
  </w:style>
  <w:style w:type="character" w:customStyle="1" w:styleId="24">
    <w:name w:val="标题 1 Char"/>
    <w:basedOn w:val="19"/>
    <w:link w:val="2"/>
    <w:qFormat/>
    <w:uiPriority w:val="9"/>
    <w:rPr>
      <w:b/>
      <w:bCs/>
      <w:kern w:val="44"/>
      <w:sz w:val="44"/>
      <w:szCs w:val="44"/>
    </w:rPr>
  </w:style>
  <w:style w:type="paragraph" w:styleId="25">
    <w:name w:val="List Paragraph"/>
    <w:basedOn w:val="1"/>
    <w:qFormat/>
    <w:uiPriority w:val="34"/>
    <w:pPr>
      <w:ind w:firstLine="420" w:firstLineChars="200"/>
    </w:pPr>
    <w:rPr>
      <w:rFonts w:ascii="Times New Roman" w:hAnsi="Times New Roman" w:eastAsia="宋体" w:cs="Times New Roman"/>
      <w:szCs w:val="24"/>
    </w:rPr>
  </w:style>
  <w:style w:type="character" w:customStyle="1" w:styleId="26">
    <w:name w:val="正文文本 Char"/>
    <w:basedOn w:val="19"/>
    <w:link w:val="7"/>
    <w:qFormat/>
    <w:uiPriority w:val="99"/>
  </w:style>
  <w:style w:type="character" w:customStyle="1" w:styleId="27">
    <w:name w:val="正文首行缩进 Char"/>
    <w:basedOn w:val="26"/>
    <w:link w:val="16"/>
    <w:qFormat/>
    <w:uiPriority w:val="99"/>
  </w:style>
  <w:style w:type="character" w:customStyle="1" w:styleId="28">
    <w:name w:val="页眉 Char"/>
    <w:basedOn w:val="19"/>
    <w:link w:val="12"/>
    <w:qFormat/>
    <w:uiPriority w:val="99"/>
    <w:rPr>
      <w:rFonts w:asciiTheme="minorHAnsi" w:hAnsiTheme="minorHAnsi" w:eastAsiaTheme="minorEastAsia" w:cstheme="minorBidi"/>
      <w:kern w:val="2"/>
      <w:sz w:val="18"/>
      <w:szCs w:val="18"/>
    </w:rPr>
  </w:style>
  <w:style w:type="character" w:customStyle="1" w:styleId="29">
    <w:name w:val="页脚 Char"/>
    <w:basedOn w:val="19"/>
    <w:link w:val="11"/>
    <w:qFormat/>
    <w:uiPriority w:val="99"/>
    <w:rPr>
      <w:rFonts w:asciiTheme="minorHAnsi" w:hAnsiTheme="minorHAnsi" w:eastAsiaTheme="minorEastAsia" w:cstheme="minorBidi"/>
      <w:kern w:val="2"/>
      <w:sz w:val="18"/>
      <w:szCs w:val="18"/>
    </w:rPr>
  </w:style>
  <w:style w:type="character" w:customStyle="1" w:styleId="30">
    <w:name w:val="批注文字 Char"/>
    <w:basedOn w:val="19"/>
    <w:link w:val="6"/>
    <w:semiHidden/>
    <w:qFormat/>
    <w:uiPriority w:val="99"/>
    <w:rPr>
      <w:rFonts w:asciiTheme="minorHAnsi" w:hAnsiTheme="minorHAnsi" w:eastAsiaTheme="minorEastAsia" w:cstheme="minorBidi"/>
      <w:kern w:val="2"/>
      <w:sz w:val="21"/>
      <w:szCs w:val="22"/>
    </w:rPr>
  </w:style>
  <w:style w:type="character" w:customStyle="1" w:styleId="31">
    <w:name w:val="批注主题 Char"/>
    <w:basedOn w:val="30"/>
    <w:link w:val="15"/>
    <w:semiHidden/>
    <w:qFormat/>
    <w:uiPriority w:val="99"/>
    <w:rPr>
      <w:rFonts w:asciiTheme="minorHAnsi" w:hAnsiTheme="minorHAnsi" w:eastAsiaTheme="minorEastAsia" w:cstheme="minorBidi"/>
      <w:b/>
      <w:bCs/>
      <w:kern w:val="2"/>
      <w:sz w:val="21"/>
      <w:szCs w:val="22"/>
    </w:rPr>
  </w:style>
  <w:style w:type="character" w:customStyle="1" w:styleId="32">
    <w:name w:val="批注框文本 Char"/>
    <w:basedOn w:val="19"/>
    <w:link w:val="10"/>
    <w:semiHidden/>
    <w:qFormat/>
    <w:uiPriority w:val="99"/>
    <w:rPr>
      <w:rFonts w:asciiTheme="minorHAnsi" w:hAnsiTheme="minorHAnsi" w:eastAsiaTheme="minorEastAsia" w:cstheme="minorBidi"/>
      <w:kern w:val="2"/>
      <w:sz w:val="18"/>
      <w:szCs w:val="18"/>
    </w:rPr>
  </w:style>
  <w:style w:type="paragraph" w:customStyle="1" w:styleId="33">
    <w:name w:val="正文0"/>
    <w:basedOn w:val="1"/>
    <w:qFormat/>
    <w:uiPriority w:val="0"/>
    <w:pPr>
      <w:autoSpaceDE w:val="0"/>
      <w:autoSpaceDN w:val="0"/>
      <w:adjustRightInd w:val="0"/>
      <w:spacing w:before="240" w:after="60" w:line="360" w:lineRule="atLeast"/>
    </w:pPr>
    <w:rPr>
      <w:rFonts w:ascii="Times New Roman" w:hAnsi="Times New Roman" w:eastAsia="宋体" w:cs="Times New Roman"/>
      <w:b/>
      <w:kern w:val="0"/>
      <w:sz w:val="24"/>
      <w:szCs w:val="20"/>
    </w:rPr>
  </w:style>
  <w:style w:type="character" w:customStyle="1" w:styleId="34">
    <w:name w:val="标题 3 Char"/>
    <w:basedOn w:val="19"/>
    <w:link w:val="4"/>
    <w:semiHidden/>
    <w:qFormat/>
    <w:uiPriority w:val="9"/>
    <w:rPr>
      <w:b/>
      <w:bCs/>
      <w:kern w:val="2"/>
      <w:sz w:val="32"/>
      <w:szCs w:val="32"/>
    </w:rPr>
  </w:style>
  <w:style w:type="character" w:customStyle="1" w:styleId="35">
    <w:name w:val="纯文本 Char"/>
    <w:link w:val="8"/>
    <w:qFormat/>
    <w:uiPriority w:val="99"/>
    <w:rPr>
      <w:rFonts w:ascii="宋体" w:hAnsi="Courier New"/>
      <w:kern w:val="2"/>
      <w:sz w:val="21"/>
      <w:szCs w:val="22"/>
    </w:rPr>
  </w:style>
  <w:style w:type="paragraph" w:customStyle="1" w:styleId="36">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7">
    <w:name w:val="纯文本 Char1"/>
    <w:semiHidden/>
    <w:qFormat/>
    <w:locked/>
    <w:uiPriority w:val="0"/>
    <w:rPr>
      <w:rFonts w:ascii="宋体" w:hAnsi="Courier New" w:eastAsia="宋体" w:cs="Times New Roman"/>
      <w:lang w:val="zh-CN" w:eastAsia="zh-CN"/>
    </w:rPr>
  </w:style>
  <w:style w:type="paragraph" w:customStyle="1" w:styleId="38">
    <w:name w:val="标题3（正文）"/>
    <w:basedOn w:val="1"/>
    <w:next w:val="39"/>
    <w:qFormat/>
    <w:uiPriority w:val="0"/>
    <w:pPr>
      <w:outlineLvl w:val="2"/>
    </w:pPr>
    <w:rPr>
      <w:b/>
    </w:rPr>
  </w:style>
  <w:style w:type="paragraph" w:customStyle="1" w:styleId="39">
    <w:name w:val="*正文"/>
    <w:basedOn w:val="1"/>
    <w:qFormat/>
    <w:uiPriority w:val="0"/>
    <w:pPr>
      <w:spacing w:line="300" w:lineRule="auto"/>
      <w:ind w:left="840" w:firstLine="480"/>
    </w:pPr>
    <w:rPr>
      <w:rFonts w:ascii="宋体" w:hAnsi="宋体" w:eastAsia="宋体" w:cs="仿宋_GB2312"/>
      <w:kern w:val="0"/>
      <w:sz w:val="24"/>
    </w:rPr>
  </w:style>
  <w:style w:type="paragraph" w:customStyle="1" w:styleId="40">
    <w:name w:val="标题2"/>
    <w:basedOn w:val="1"/>
    <w:next w:val="1"/>
    <w:qFormat/>
    <w:uiPriority w:val="0"/>
    <w:pPr>
      <w:outlineLvl w:val="1"/>
    </w:pPr>
    <w:rPr>
      <w:b/>
    </w:rPr>
  </w:style>
  <w:style w:type="paragraph" w:customStyle="1" w:styleId="41">
    <w:name w:val="标题3（文件格式）"/>
    <w:basedOn w:val="1"/>
    <w:next w:val="1"/>
    <w:qFormat/>
    <w:uiPriority w:val="0"/>
    <w:pPr>
      <w:spacing w:line="480" w:lineRule="exact"/>
      <w:outlineLvl w:val="2"/>
    </w:pPr>
    <w:rPr>
      <w:rFonts w:hAnsi="宋体"/>
      <w:b/>
      <w:color w:val="000000"/>
      <w:sz w:val="30"/>
      <w:szCs w:val="44"/>
    </w:rPr>
  </w:style>
  <w:style w:type="table" w:customStyle="1" w:styleId="42">
    <w:name w:val="Table Normal"/>
    <w:semiHidden/>
    <w:unhideWhenUsed/>
    <w:qFormat/>
    <w:uiPriority w:val="0"/>
    <w:tblPr>
      <w:tblCellMar>
        <w:top w:w="0" w:type="dxa"/>
        <w:left w:w="0" w:type="dxa"/>
        <w:bottom w:w="0" w:type="dxa"/>
        <w:right w:w="0" w:type="dxa"/>
      </w:tblCellMar>
    </w:tblPr>
  </w:style>
  <w:style w:type="character" w:customStyle="1" w:styleId="43">
    <w:name w:val="font11"/>
    <w:basedOn w:val="19"/>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21</Pages>
  <Words>11258</Words>
  <Characters>11539</Characters>
  <Lines>96</Lines>
  <Paragraphs>27</Paragraphs>
  <TotalTime>1</TotalTime>
  <ScaleCrop>false</ScaleCrop>
  <LinksUpToDate>false</LinksUpToDate>
  <CharactersWithSpaces>13019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2023-09-08T00:02:00Z</dcterms:created>
  <dc:creator>Windows</dc:creator>
  <cp:lastModifiedBy> RONG</cp:lastModifiedBy>
  <dcterms:modified xsi:type="dcterms:W3CDTF">2026-09-24T10:38:50Z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eyJoZGlkIjoiMDQ0ZTdmOTFlZjc0OWU0NDhmMzA1YTM2NmI5MDg1MzIiLCJ1c2VySWQiOiI0MDk0NTEyMTIifQ==</vt:lpwstr>
  </property>
  <property fmtid="{D5CDD505-2E9C-101B-9397-08002B2CF9AE}" pid="4" name="ICV">
    <vt:lpwstr>1B1410CC3DC54AEC9276F6D9ACC0B279_13</vt:lpwstr>
  </property>
</Properties>
</file>