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F87E2">
      <w:pPr>
        <w:pStyle w:val="17"/>
        <w:jc w:val="center"/>
        <w:rPr>
          <w:b/>
          <w:sz w:val="44"/>
          <w:szCs w:val="44"/>
        </w:rPr>
      </w:pPr>
      <w:r>
        <w:rPr>
          <w:rFonts w:hint="eastAsia"/>
          <w:b/>
          <w:sz w:val="44"/>
          <w:szCs w:val="44"/>
        </w:rPr>
        <w:t xml:space="preserve"> 柳州职业技术大学竞择楼实验室白板采购项目</w:t>
      </w:r>
    </w:p>
    <w:p w14:paraId="6D519ED4">
      <w:pPr>
        <w:pStyle w:val="17"/>
        <w:jc w:val="center"/>
        <w:rPr>
          <w:color w:val="FF0000"/>
          <w:sz w:val="22"/>
          <w:szCs w:val="44"/>
        </w:rPr>
      </w:pPr>
      <w:r>
        <w:rPr>
          <w:rFonts w:hint="eastAsia"/>
          <w:b/>
          <w:sz w:val="44"/>
          <w:szCs w:val="44"/>
        </w:rPr>
        <w:t xml:space="preserve">市场询价采购公告 </w:t>
      </w:r>
    </w:p>
    <w:p w14:paraId="6C260A62">
      <w:pPr>
        <w:numPr>
          <w:ilvl w:val="0"/>
          <w:numId w:val="1"/>
        </w:numPr>
        <w:spacing w:line="500" w:lineRule="exact"/>
        <w:rPr>
          <w:rFonts w:hint="eastAsia" w:ascii="宋体" w:hAnsi="宋体" w:cs="宋体"/>
          <w:bCs/>
          <w:sz w:val="24"/>
          <w:szCs w:val="24"/>
        </w:rPr>
      </w:pPr>
      <w:r>
        <w:rPr>
          <w:rFonts w:hint="eastAsia" w:ascii="宋体" w:hAnsi="宋体" w:cs="宋体"/>
          <w:sz w:val="24"/>
          <w:szCs w:val="24"/>
        </w:rPr>
        <w:t>项目名称：</w:t>
      </w:r>
      <w:r>
        <w:rPr>
          <w:rFonts w:hint="eastAsia" w:ascii="宋体" w:hAnsi="宋体" w:cs="宋体"/>
          <w:bCs/>
          <w:sz w:val="24"/>
          <w:szCs w:val="24"/>
        </w:rPr>
        <w:t>竞择楼实验室白板采购</w:t>
      </w:r>
    </w:p>
    <w:p w14:paraId="0762B257">
      <w:pPr>
        <w:numPr>
          <w:ilvl w:val="0"/>
          <w:numId w:val="1"/>
        </w:numPr>
        <w:spacing w:line="500" w:lineRule="exact"/>
        <w:rPr>
          <w:rFonts w:hint="eastAsia" w:ascii="宋体" w:hAnsi="宋体" w:cs="宋体"/>
          <w:sz w:val="24"/>
          <w:szCs w:val="24"/>
        </w:rPr>
      </w:pPr>
      <w:r>
        <w:rPr>
          <w:rFonts w:hint="eastAsia" w:ascii="宋体" w:hAnsi="宋体" w:cs="宋体"/>
          <w:sz w:val="24"/>
          <w:szCs w:val="24"/>
        </w:rPr>
        <w:t>询价采购项目预算金额（人民币大写）:壹万零陆佰捌拾元整（¥10680.00 ）</w:t>
      </w:r>
    </w:p>
    <w:p w14:paraId="77F431D7">
      <w:pPr>
        <w:numPr>
          <w:ilvl w:val="0"/>
          <w:numId w:val="1"/>
        </w:numPr>
        <w:spacing w:line="500" w:lineRule="exact"/>
        <w:rPr>
          <w:rFonts w:hint="eastAsia" w:ascii="宋体" w:hAnsi="宋体" w:cs="宋体"/>
          <w:sz w:val="24"/>
          <w:szCs w:val="24"/>
        </w:rPr>
      </w:pPr>
      <w:r>
        <w:rPr>
          <w:rFonts w:hint="eastAsia" w:ascii="Arial" w:hAnsi="Arial" w:cs="Arial"/>
          <w:bCs/>
          <w:kern w:val="0"/>
          <w:sz w:val="24"/>
          <w:szCs w:val="28"/>
          <w:lang w:bidi="en-US"/>
        </w:rPr>
        <w:t>评标方法：最低评标价法</w:t>
      </w:r>
    </w:p>
    <w:p w14:paraId="23E5DBA8">
      <w:pPr>
        <w:numPr>
          <w:ilvl w:val="0"/>
          <w:numId w:val="1"/>
        </w:numPr>
        <w:spacing w:line="500" w:lineRule="exact"/>
        <w:rPr>
          <w:rFonts w:hint="eastAsia" w:ascii="宋体" w:hAnsi="宋体"/>
          <w:sz w:val="24"/>
          <w:szCs w:val="24"/>
        </w:rPr>
      </w:pPr>
      <w:r>
        <w:rPr>
          <w:rFonts w:hint="eastAsia" w:ascii="宋体" w:hAnsi="宋体"/>
          <w:sz w:val="24"/>
          <w:szCs w:val="24"/>
        </w:rPr>
        <w:t>采购要求</w:t>
      </w:r>
    </w:p>
    <w:p w14:paraId="073454ED">
      <w:pPr>
        <w:pStyle w:val="5"/>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2"/>
        <w:tblW w:w="9837" w:type="dxa"/>
        <w:tblInd w:w="0" w:type="dxa"/>
        <w:tblLayout w:type="fixed"/>
        <w:tblCellMar>
          <w:top w:w="0" w:type="dxa"/>
          <w:left w:w="108" w:type="dxa"/>
          <w:bottom w:w="0" w:type="dxa"/>
          <w:right w:w="108" w:type="dxa"/>
        </w:tblCellMar>
      </w:tblPr>
      <w:tblGrid>
        <w:gridCol w:w="554"/>
        <w:gridCol w:w="849"/>
        <w:gridCol w:w="117"/>
        <w:gridCol w:w="6884"/>
        <w:gridCol w:w="700"/>
        <w:gridCol w:w="733"/>
      </w:tblGrid>
      <w:tr w14:paraId="1714684B">
        <w:tblPrEx>
          <w:tblCellMar>
            <w:top w:w="0" w:type="dxa"/>
            <w:left w:w="108" w:type="dxa"/>
            <w:bottom w:w="0" w:type="dxa"/>
            <w:right w:w="108" w:type="dxa"/>
          </w:tblCellMar>
        </w:tblPrEx>
        <w:trPr>
          <w:trHeight w:val="1066" w:hRule="atLeast"/>
        </w:trPr>
        <w:tc>
          <w:tcPr>
            <w:tcW w:w="554" w:type="dxa"/>
            <w:tcBorders>
              <w:top w:val="single" w:color="auto" w:sz="4" w:space="0"/>
              <w:left w:val="single" w:color="auto" w:sz="4" w:space="0"/>
              <w:bottom w:val="single" w:color="auto" w:sz="4" w:space="0"/>
              <w:right w:val="single" w:color="auto" w:sz="4" w:space="0"/>
            </w:tcBorders>
            <w:vAlign w:val="center"/>
          </w:tcPr>
          <w:p w14:paraId="4E960D4A">
            <w:pPr>
              <w:widowControl/>
              <w:jc w:val="center"/>
              <w:rPr>
                <w:rFonts w:hint="eastAsia" w:ascii="宋体" w:hAnsi="宋体" w:cs="宋体"/>
                <w:b/>
                <w:color w:val="000000"/>
                <w:kern w:val="0"/>
                <w:sz w:val="24"/>
                <w:szCs w:val="24"/>
              </w:rPr>
            </w:pPr>
            <w:r>
              <w:rPr>
                <w:rFonts w:hint="eastAsia" w:ascii="宋体" w:hAnsi="宋体" w:cs="宋体"/>
                <w:b/>
                <w:color w:val="000000"/>
                <w:kern w:val="0"/>
                <w:sz w:val="24"/>
                <w:szCs w:val="24"/>
              </w:rPr>
              <w:t>序号</w:t>
            </w:r>
          </w:p>
        </w:tc>
        <w:tc>
          <w:tcPr>
            <w:tcW w:w="966" w:type="dxa"/>
            <w:gridSpan w:val="2"/>
            <w:tcBorders>
              <w:top w:val="single" w:color="auto" w:sz="4" w:space="0"/>
              <w:left w:val="nil"/>
              <w:bottom w:val="single" w:color="auto" w:sz="4" w:space="0"/>
              <w:right w:val="single" w:color="auto" w:sz="4" w:space="0"/>
            </w:tcBorders>
            <w:vAlign w:val="center"/>
          </w:tcPr>
          <w:p w14:paraId="6281FB27">
            <w:pPr>
              <w:widowControl/>
              <w:jc w:val="center"/>
              <w:rPr>
                <w:rFonts w:hint="eastAsia" w:ascii="宋体" w:hAnsi="宋体" w:cs="宋体"/>
                <w:b/>
                <w:color w:val="000000"/>
                <w:kern w:val="0"/>
                <w:sz w:val="24"/>
                <w:szCs w:val="24"/>
              </w:rPr>
            </w:pPr>
            <w:r>
              <w:rPr>
                <w:rFonts w:hint="eastAsia" w:ascii="宋体" w:hAnsi="宋体" w:cs="宋体"/>
                <w:b/>
                <w:color w:val="000000"/>
                <w:kern w:val="0"/>
                <w:sz w:val="24"/>
                <w:szCs w:val="24"/>
              </w:rPr>
              <w:t>名称</w:t>
            </w:r>
          </w:p>
        </w:tc>
        <w:tc>
          <w:tcPr>
            <w:tcW w:w="6884" w:type="dxa"/>
            <w:tcBorders>
              <w:top w:val="single" w:color="auto" w:sz="4" w:space="0"/>
              <w:left w:val="nil"/>
              <w:bottom w:val="single" w:color="auto" w:sz="4" w:space="0"/>
              <w:right w:val="single" w:color="auto" w:sz="4" w:space="0"/>
            </w:tcBorders>
            <w:vAlign w:val="center"/>
          </w:tcPr>
          <w:p w14:paraId="32AEEB21">
            <w:pPr>
              <w:widowControl/>
              <w:jc w:val="center"/>
              <w:rPr>
                <w:rFonts w:hint="eastAsia" w:ascii="宋体" w:hAnsi="宋体" w:cs="宋体"/>
                <w:b/>
                <w:color w:val="000000"/>
                <w:kern w:val="0"/>
                <w:sz w:val="24"/>
                <w:szCs w:val="24"/>
              </w:rPr>
            </w:pPr>
            <w:r>
              <w:rPr>
                <w:rFonts w:hint="eastAsia" w:ascii="宋体" w:hAnsi="宋体" w:cs="宋体"/>
                <w:b/>
                <w:color w:val="000000"/>
                <w:kern w:val="0"/>
                <w:sz w:val="24"/>
                <w:szCs w:val="24"/>
              </w:rPr>
              <w:t>参数要求</w:t>
            </w:r>
          </w:p>
        </w:tc>
        <w:tc>
          <w:tcPr>
            <w:tcW w:w="700" w:type="dxa"/>
            <w:tcBorders>
              <w:top w:val="single" w:color="auto" w:sz="4" w:space="0"/>
              <w:left w:val="nil"/>
              <w:bottom w:val="single" w:color="auto" w:sz="4" w:space="0"/>
              <w:right w:val="single" w:color="auto" w:sz="4" w:space="0"/>
            </w:tcBorders>
            <w:vAlign w:val="center"/>
          </w:tcPr>
          <w:p w14:paraId="5630E850">
            <w:pPr>
              <w:widowControl/>
              <w:jc w:val="center"/>
              <w:rPr>
                <w:rFonts w:hint="eastAsia" w:ascii="宋体" w:hAnsi="宋体" w:cs="宋体"/>
                <w:b/>
                <w:color w:val="000000"/>
                <w:kern w:val="0"/>
                <w:sz w:val="24"/>
                <w:szCs w:val="24"/>
              </w:rPr>
            </w:pPr>
            <w:r>
              <w:rPr>
                <w:rFonts w:hint="eastAsia" w:ascii="宋体" w:hAnsi="宋体" w:cs="宋体"/>
                <w:b/>
                <w:color w:val="000000"/>
                <w:kern w:val="0"/>
                <w:sz w:val="24"/>
                <w:szCs w:val="24"/>
              </w:rPr>
              <w:t>单位</w:t>
            </w:r>
          </w:p>
        </w:tc>
        <w:tc>
          <w:tcPr>
            <w:tcW w:w="733" w:type="dxa"/>
            <w:tcBorders>
              <w:top w:val="single" w:color="auto" w:sz="4" w:space="0"/>
              <w:left w:val="single" w:color="auto" w:sz="4" w:space="0"/>
              <w:bottom w:val="single" w:color="auto" w:sz="4" w:space="0"/>
              <w:right w:val="single" w:color="auto" w:sz="4" w:space="0"/>
            </w:tcBorders>
            <w:vAlign w:val="center"/>
          </w:tcPr>
          <w:p w14:paraId="48643301">
            <w:pPr>
              <w:widowControl/>
              <w:jc w:val="center"/>
              <w:rPr>
                <w:rFonts w:hint="eastAsia" w:ascii="宋体" w:hAnsi="宋体" w:cs="宋体"/>
                <w:b/>
                <w:color w:val="000000"/>
                <w:kern w:val="0"/>
                <w:sz w:val="24"/>
                <w:szCs w:val="24"/>
              </w:rPr>
            </w:pPr>
            <w:r>
              <w:rPr>
                <w:rFonts w:hint="eastAsia" w:ascii="宋体" w:hAnsi="宋体" w:cs="宋体"/>
                <w:b/>
                <w:color w:val="000000"/>
                <w:kern w:val="0"/>
                <w:sz w:val="24"/>
                <w:szCs w:val="24"/>
              </w:rPr>
              <w:t>数量</w:t>
            </w:r>
          </w:p>
        </w:tc>
      </w:tr>
      <w:tr w14:paraId="559BF8B7">
        <w:tblPrEx>
          <w:tblCellMar>
            <w:top w:w="0" w:type="dxa"/>
            <w:left w:w="108" w:type="dxa"/>
            <w:bottom w:w="0" w:type="dxa"/>
            <w:right w:w="108" w:type="dxa"/>
          </w:tblCellMar>
        </w:tblPrEx>
        <w:trPr>
          <w:trHeight w:val="972" w:hRule="atLeast"/>
        </w:trPr>
        <w:tc>
          <w:tcPr>
            <w:tcW w:w="554" w:type="dxa"/>
            <w:tcBorders>
              <w:top w:val="nil"/>
              <w:left w:val="single" w:color="auto" w:sz="4" w:space="0"/>
              <w:bottom w:val="single" w:color="auto" w:sz="4" w:space="0"/>
              <w:right w:val="single" w:color="auto" w:sz="4" w:space="0"/>
            </w:tcBorders>
          </w:tcPr>
          <w:p w14:paraId="27F990F7">
            <w:pPr>
              <w:widowControl/>
              <w:textAlignment w:val="bottom"/>
              <w:rPr>
                <w:rFonts w:hint="eastAsia" w:cs="宋体" w:asciiTheme="minorEastAsia" w:hAnsiTheme="minorEastAsia"/>
                <w:kern w:val="0"/>
                <w:sz w:val="24"/>
                <w:szCs w:val="24"/>
              </w:rPr>
            </w:pPr>
            <w:r>
              <w:rPr>
                <w:rFonts w:hint="eastAsia" w:ascii="宋体" w:hAnsi="宋体" w:eastAsia="宋体" w:cs="宋体"/>
                <w:kern w:val="0"/>
                <w:sz w:val="22"/>
                <w:lang w:bidi="ar"/>
              </w:rPr>
              <w:t>1</w:t>
            </w:r>
          </w:p>
        </w:tc>
        <w:tc>
          <w:tcPr>
            <w:tcW w:w="966" w:type="dxa"/>
            <w:gridSpan w:val="2"/>
            <w:tcBorders>
              <w:top w:val="nil"/>
              <w:left w:val="nil"/>
              <w:bottom w:val="single" w:color="auto" w:sz="4" w:space="0"/>
              <w:right w:val="single" w:color="auto" w:sz="4" w:space="0"/>
            </w:tcBorders>
          </w:tcPr>
          <w:p w14:paraId="3C3E4C8E">
            <w:pPr>
              <w:widowControl/>
              <w:textAlignment w:val="bottom"/>
              <w:rPr>
                <w:rFonts w:hint="eastAsia" w:cs="宋体" w:asciiTheme="minorEastAsia" w:hAnsiTheme="minorEastAsia"/>
                <w:kern w:val="0"/>
                <w:sz w:val="24"/>
                <w:szCs w:val="24"/>
              </w:rPr>
            </w:pPr>
            <w:r>
              <w:rPr>
                <w:spacing w:val="2"/>
              </w:rPr>
              <w:t xml:space="preserve">可擦教学 </w:t>
            </w:r>
            <w:r>
              <w:rPr>
                <w:spacing w:val="10"/>
              </w:rPr>
              <w:t>白板</w:t>
            </w:r>
            <w:r>
              <w:rPr>
                <w:rFonts w:hint="eastAsia"/>
                <w:spacing w:val="10"/>
              </w:rPr>
              <w:t>1</w:t>
            </w:r>
          </w:p>
        </w:tc>
        <w:tc>
          <w:tcPr>
            <w:tcW w:w="6884" w:type="dxa"/>
            <w:tcBorders>
              <w:top w:val="nil"/>
              <w:left w:val="nil"/>
              <w:bottom w:val="single" w:color="auto" w:sz="4" w:space="0"/>
              <w:right w:val="single" w:color="auto" w:sz="4" w:space="0"/>
            </w:tcBorders>
            <w:vAlign w:val="center"/>
          </w:tcPr>
          <w:p w14:paraId="011B2626">
            <w:pPr>
              <w:pStyle w:val="35"/>
              <w:spacing w:before="58" w:line="251" w:lineRule="auto"/>
              <w:ind w:right="90"/>
              <w:rPr>
                <w:spacing w:val="-1"/>
                <w:highlight w:val="none"/>
                <w:lang w:eastAsia="zh-CN"/>
              </w:rPr>
            </w:pPr>
            <w:r>
              <w:rPr>
                <w:spacing w:val="2"/>
                <w:highlight w:val="none"/>
                <w:lang w:eastAsia="zh-CN"/>
              </w:rPr>
              <w:t>1.有效书写面积</w:t>
            </w:r>
            <w:r>
              <w:rPr>
                <w:rFonts w:hint="eastAsia"/>
                <w:highlight w:val="none"/>
                <w:lang w:eastAsia="zh-CN"/>
              </w:rPr>
              <w:t>长边2000mm偏差值</w:t>
            </w:r>
            <w:r>
              <w:rPr>
                <w:spacing w:val="2"/>
                <w:highlight w:val="none"/>
                <w:lang w:eastAsia="zh-CN"/>
              </w:rPr>
              <w:t>±</w:t>
            </w:r>
            <w:r>
              <w:rPr>
                <w:rFonts w:hint="eastAsia"/>
                <w:spacing w:val="2"/>
                <w:highlight w:val="none"/>
                <w:lang w:eastAsia="zh-CN"/>
              </w:rPr>
              <w:t>5mm，短边1000mm偏差值</w:t>
            </w:r>
            <w:r>
              <w:rPr>
                <w:spacing w:val="2"/>
                <w:highlight w:val="none"/>
                <w:lang w:eastAsia="zh-CN"/>
              </w:rPr>
              <w:t>±</w:t>
            </w:r>
            <w:r>
              <w:rPr>
                <w:rFonts w:hint="eastAsia"/>
                <w:spacing w:val="2"/>
                <w:highlight w:val="none"/>
                <w:lang w:eastAsia="zh-CN"/>
              </w:rPr>
              <w:t>3mm</w:t>
            </w:r>
            <w:r>
              <w:rPr>
                <w:spacing w:val="-1"/>
                <w:highlight w:val="none"/>
                <w:lang w:eastAsia="zh-CN"/>
              </w:rPr>
              <w:t xml:space="preserve"> </w:t>
            </w:r>
            <w:r>
              <w:rPr>
                <w:rFonts w:hint="eastAsia"/>
                <w:spacing w:val="-1"/>
                <w:highlight w:val="none"/>
                <w:lang w:eastAsia="zh-CN"/>
              </w:rPr>
              <w:t>；</w:t>
            </w:r>
          </w:p>
          <w:p w14:paraId="708E1659">
            <w:pPr>
              <w:pStyle w:val="35"/>
              <w:spacing w:before="58" w:line="251" w:lineRule="auto"/>
              <w:ind w:right="90"/>
              <w:rPr>
                <w:rFonts w:hint="eastAsia"/>
                <w:spacing w:val="-1"/>
                <w:highlight w:val="none"/>
                <w:lang w:eastAsia="zh-CN"/>
              </w:rPr>
            </w:pPr>
            <w:r>
              <w:rPr>
                <w:spacing w:val="-1"/>
                <w:highlight w:val="none"/>
                <w:lang w:eastAsia="zh-CN"/>
              </w:rPr>
              <w:t>2.采用搪瓷钢板（基板厚度≥0.4mm），表面光滑平整，无凹凸、气泡、划痕等缺陷；板面符合《书写板钢板搪瓷》GB/T 37773-2019要求；表面铅笔硬度≥6H（按</w:t>
            </w:r>
            <w:r>
              <w:rPr>
                <w:rFonts w:hint="eastAsia"/>
                <w:spacing w:val="-1"/>
                <w:highlight w:val="none"/>
                <w:lang w:eastAsia="zh-CN"/>
              </w:rPr>
              <w:t>《</w:t>
            </w:r>
            <w:r>
              <w:rPr>
                <w:spacing w:val="-1"/>
                <w:highlight w:val="none"/>
                <w:lang w:eastAsia="zh-CN"/>
              </w:rPr>
              <w:t>色漆和清漆 铅笔法测定漆膜硬度</w:t>
            </w:r>
            <w:r>
              <w:rPr>
                <w:rFonts w:hint="eastAsia"/>
                <w:spacing w:val="-1"/>
                <w:highlight w:val="none"/>
                <w:lang w:eastAsia="zh-CN"/>
              </w:rPr>
              <w:t>》（</w:t>
            </w:r>
            <w:r>
              <w:rPr>
                <w:spacing w:val="-1"/>
                <w:highlight w:val="none"/>
                <w:lang w:eastAsia="zh-CN"/>
              </w:rPr>
              <w:t>GB/T 6739-2022</w:t>
            </w:r>
            <w:r>
              <w:rPr>
                <w:rFonts w:hint="eastAsia"/>
                <w:spacing w:val="-1"/>
                <w:highlight w:val="none"/>
                <w:lang w:eastAsia="zh-CN"/>
              </w:rPr>
              <w:t>）</w:t>
            </w:r>
            <w:r>
              <w:rPr>
                <w:spacing w:val="-1"/>
                <w:highlight w:val="none"/>
                <w:lang w:eastAsia="zh-CN"/>
              </w:rPr>
              <w:t>测试），光泽度≤12光泽单位；</w:t>
            </w:r>
          </w:p>
          <w:p w14:paraId="15FC5AAE">
            <w:pPr>
              <w:pStyle w:val="35"/>
              <w:spacing w:before="58" w:line="251" w:lineRule="auto"/>
              <w:ind w:right="90"/>
              <w:rPr>
                <w:rFonts w:hint="eastAsia"/>
                <w:spacing w:val="-1"/>
                <w:highlight w:val="none"/>
                <w:lang w:eastAsia="zh-CN"/>
              </w:rPr>
            </w:pPr>
            <w:r>
              <w:rPr>
                <w:spacing w:val="-1"/>
                <w:highlight w:val="none"/>
                <w:lang w:eastAsia="zh-CN"/>
              </w:rPr>
              <w:t>3.支持水性马克笔书写，线迹流畅、笔道均匀、无断线现象；经干式或湿式白板擦往复擦拭两次后，距1m处观察不应留有残留字迹；耐擦次数不少于10000次（参照《书写板安全卫生要求》GB 28231-2011相关方法测试）；</w:t>
            </w:r>
          </w:p>
          <w:p w14:paraId="0D2F92EA">
            <w:pPr>
              <w:pStyle w:val="35"/>
              <w:spacing w:before="58" w:line="251" w:lineRule="auto"/>
              <w:ind w:right="90"/>
              <w:rPr>
                <w:rFonts w:hint="eastAsia"/>
                <w:spacing w:val="-1"/>
                <w:highlight w:val="none"/>
                <w:lang w:eastAsia="zh-CN"/>
              </w:rPr>
            </w:pPr>
            <w:r>
              <w:rPr>
                <w:spacing w:val="-1"/>
                <w:highlight w:val="none"/>
                <w:lang w:eastAsia="zh-CN"/>
              </w:rPr>
              <w:t>4.板面具有磁性吸附功能，可吸附磁性教具、图钉等；</w:t>
            </w:r>
          </w:p>
          <w:p w14:paraId="7523DC58">
            <w:pPr>
              <w:pStyle w:val="35"/>
              <w:spacing w:before="58" w:line="251" w:lineRule="auto"/>
              <w:ind w:right="90"/>
              <w:rPr>
                <w:rFonts w:hint="eastAsia"/>
                <w:spacing w:val="-1"/>
                <w:highlight w:val="none"/>
                <w:lang w:eastAsia="zh-CN"/>
              </w:rPr>
            </w:pPr>
            <w:r>
              <w:rPr>
                <w:spacing w:val="-1"/>
                <w:highlight w:val="none"/>
                <w:lang w:eastAsia="zh-CN"/>
              </w:rPr>
              <w:t>5.配备独立移动式支架，采用冷轧钢材质（壁厚≥1.</w:t>
            </w:r>
            <w:r>
              <w:rPr>
                <w:rFonts w:hint="eastAsia"/>
                <w:spacing w:val="-1"/>
                <w:highlight w:val="none"/>
                <w:lang w:eastAsia="zh-CN"/>
              </w:rPr>
              <w:t>0</w:t>
            </w:r>
            <w:r>
              <w:rPr>
                <w:spacing w:val="-1"/>
                <w:highlight w:val="none"/>
                <w:lang w:eastAsia="zh-CN"/>
              </w:rPr>
              <w:t>mm），承重能力≥50kg，结构稳固；</w:t>
            </w:r>
          </w:p>
          <w:p w14:paraId="7BC904CA">
            <w:pPr>
              <w:pStyle w:val="35"/>
              <w:spacing w:before="58" w:line="251" w:lineRule="auto"/>
              <w:ind w:right="90"/>
              <w:rPr>
                <w:rFonts w:hint="eastAsia"/>
                <w:spacing w:val="-1"/>
                <w:highlight w:val="none"/>
                <w:lang w:eastAsia="zh-CN"/>
              </w:rPr>
            </w:pPr>
            <w:r>
              <w:rPr>
                <w:spacing w:val="-1"/>
                <w:highlight w:val="none"/>
                <w:lang w:eastAsia="zh-CN"/>
              </w:rPr>
              <w:t>6.支架高度可在1500mm～1900mm范围内自由调节（指板面上沿离地高度），适配不同身高的教师使用；支架底座配备万向轮（带刹车装置），制动后整体不移动、承载状态下倾斜≥10°不倾倒，确保使用安全稳定；</w:t>
            </w:r>
          </w:p>
          <w:p w14:paraId="201B965A">
            <w:pPr>
              <w:pStyle w:val="35"/>
              <w:spacing w:before="58" w:line="251" w:lineRule="auto"/>
              <w:ind w:right="90"/>
              <w:rPr>
                <w:rFonts w:hint="eastAsia" w:eastAsia="宋体" w:asciiTheme="minorEastAsia" w:hAnsiTheme="minorEastAsia"/>
                <w:kern w:val="0"/>
                <w:sz w:val="24"/>
                <w:szCs w:val="24"/>
                <w:highlight w:val="none"/>
              </w:rPr>
            </w:pPr>
            <w:r>
              <w:rPr>
                <w:spacing w:val="-1"/>
                <w:highlight w:val="none"/>
                <w:lang w:eastAsia="zh-CN"/>
              </w:rPr>
              <w:t>7. 边框采用铝合金材质（型材壁厚≥1.0mm），边角圆角处理，无</w:t>
            </w:r>
            <w:r>
              <w:rPr>
                <w:spacing w:val="-1"/>
                <w:highlight w:val="none"/>
              </w:rPr>
              <w:t>尖锐棱角。</w:t>
            </w:r>
          </w:p>
        </w:tc>
        <w:tc>
          <w:tcPr>
            <w:tcW w:w="700" w:type="dxa"/>
            <w:tcBorders>
              <w:top w:val="nil"/>
              <w:left w:val="nil"/>
              <w:bottom w:val="single" w:color="auto" w:sz="4" w:space="0"/>
              <w:right w:val="single" w:color="auto" w:sz="4" w:space="0"/>
            </w:tcBorders>
          </w:tcPr>
          <w:p w14:paraId="22E82D5D">
            <w:pPr>
              <w:widowControl/>
              <w:textAlignment w:val="bottom"/>
              <w:rPr>
                <w:rFonts w:hint="eastAsia" w:cs="宋体" w:asciiTheme="minorEastAsia" w:hAnsiTheme="minorEastAsia"/>
                <w:kern w:val="0"/>
                <w:sz w:val="24"/>
                <w:szCs w:val="24"/>
              </w:rPr>
            </w:pPr>
            <w:r>
              <w:rPr>
                <w:rFonts w:hint="eastAsia" w:cs="宋体" w:asciiTheme="minorEastAsia" w:hAnsiTheme="minorEastAsia"/>
                <w:kern w:val="0"/>
                <w:sz w:val="24"/>
                <w:szCs w:val="24"/>
              </w:rPr>
              <w:t>张</w:t>
            </w:r>
          </w:p>
        </w:tc>
        <w:tc>
          <w:tcPr>
            <w:tcW w:w="733" w:type="dxa"/>
            <w:tcBorders>
              <w:top w:val="nil"/>
              <w:left w:val="single" w:color="auto" w:sz="4" w:space="0"/>
              <w:bottom w:val="single" w:color="auto" w:sz="4" w:space="0"/>
              <w:right w:val="single" w:color="auto" w:sz="4" w:space="0"/>
            </w:tcBorders>
          </w:tcPr>
          <w:p w14:paraId="235B6AAD">
            <w:pPr>
              <w:widowControl/>
              <w:jc w:val="center"/>
              <w:textAlignment w:val="bottom"/>
              <w:rPr>
                <w:rFonts w:hint="eastAsia" w:cs="宋体" w:asciiTheme="minorEastAsia" w:hAnsiTheme="minorEastAsia"/>
                <w:kern w:val="0"/>
                <w:sz w:val="24"/>
                <w:szCs w:val="24"/>
              </w:rPr>
            </w:pPr>
            <w:r>
              <w:rPr>
                <w:rFonts w:hint="eastAsia" w:cs="宋体" w:asciiTheme="minorEastAsia" w:hAnsiTheme="minorEastAsia"/>
                <w:kern w:val="0"/>
                <w:sz w:val="24"/>
                <w:szCs w:val="24"/>
              </w:rPr>
              <w:t>18</w:t>
            </w:r>
          </w:p>
        </w:tc>
      </w:tr>
      <w:tr w14:paraId="3FA2D985">
        <w:tblPrEx>
          <w:tblCellMar>
            <w:top w:w="0" w:type="dxa"/>
            <w:left w:w="108" w:type="dxa"/>
            <w:bottom w:w="0" w:type="dxa"/>
            <w:right w:w="108" w:type="dxa"/>
          </w:tblCellMar>
        </w:tblPrEx>
        <w:trPr>
          <w:trHeight w:val="972" w:hRule="atLeast"/>
        </w:trPr>
        <w:tc>
          <w:tcPr>
            <w:tcW w:w="554" w:type="dxa"/>
            <w:tcBorders>
              <w:top w:val="nil"/>
              <w:left w:val="single" w:color="auto" w:sz="4" w:space="0"/>
              <w:bottom w:val="single" w:color="auto" w:sz="4" w:space="0"/>
              <w:right w:val="single" w:color="auto" w:sz="4" w:space="0"/>
            </w:tcBorders>
          </w:tcPr>
          <w:p w14:paraId="21899D2E">
            <w:pPr>
              <w:widowControl/>
              <w:textAlignment w:val="bottom"/>
              <w:rPr>
                <w:rFonts w:hint="eastAsia" w:cs="宋体" w:asciiTheme="minorEastAsia" w:hAnsiTheme="minorEastAsia"/>
                <w:kern w:val="0"/>
                <w:sz w:val="24"/>
                <w:szCs w:val="24"/>
              </w:rPr>
            </w:pPr>
            <w:r>
              <w:rPr>
                <w:rFonts w:hint="eastAsia" w:ascii="宋体" w:hAnsi="宋体" w:eastAsia="宋体" w:cs="宋体"/>
                <w:kern w:val="0"/>
                <w:sz w:val="22"/>
                <w:lang w:bidi="ar"/>
              </w:rPr>
              <w:t>2</w:t>
            </w:r>
          </w:p>
        </w:tc>
        <w:tc>
          <w:tcPr>
            <w:tcW w:w="966" w:type="dxa"/>
            <w:gridSpan w:val="2"/>
            <w:tcBorders>
              <w:top w:val="nil"/>
              <w:left w:val="nil"/>
              <w:bottom w:val="single" w:color="auto" w:sz="4" w:space="0"/>
              <w:right w:val="single" w:color="auto" w:sz="4" w:space="0"/>
            </w:tcBorders>
          </w:tcPr>
          <w:p w14:paraId="2B270490">
            <w:pPr>
              <w:widowControl/>
              <w:textAlignment w:val="bottom"/>
              <w:rPr>
                <w:rFonts w:hint="eastAsia" w:cs="宋体" w:asciiTheme="minorEastAsia" w:hAnsiTheme="minorEastAsia"/>
                <w:kern w:val="0"/>
                <w:sz w:val="24"/>
                <w:szCs w:val="24"/>
              </w:rPr>
            </w:pPr>
            <w:r>
              <w:rPr>
                <w:spacing w:val="2"/>
              </w:rPr>
              <w:t xml:space="preserve">可擦教学 </w:t>
            </w:r>
            <w:r>
              <w:rPr>
                <w:spacing w:val="10"/>
              </w:rPr>
              <w:t>白板</w:t>
            </w:r>
            <w:r>
              <w:rPr>
                <w:rFonts w:hint="eastAsia"/>
                <w:spacing w:val="10"/>
              </w:rPr>
              <w:t>2</w:t>
            </w:r>
          </w:p>
        </w:tc>
        <w:tc>
          <w:tcPr>
            <w:tcW w:w="6884" w:type="dxa"/>
            <w:tcBorders>
              <w:top w:val="nil"/>
              <w:left w:val="nil"/>
              <w:bottom w:val="single" w:color="auto" w:sz="4" w:space="0"/>
              <w:right w:val="single" w:color="auto" w:sz="4" w:space="0"/>
            </w:tcBorders>
            <w:vAlign w:val="center"/>
          </w:tcPr>
          <w:p w14:paraId="016CA7E4">
            <w:pPr>
              <w:pStyle w:val="35"/>
              <w:spacing w:before="58" w:line="251" w:lineRule="auto"/>
              <w:ind w:right="90"/>
              <w:rPr>
                <w:rFonts w:hint="eastAsia"/>
                <w:spacing w:val="-1"/>
                <w:highlight w:val="none"/>
                <w:lang w:eastAsia="zh-CN"/>
              </w:rPr>
            </w:pPr>
            <w:r>
              <w:rPr>
                <w:highlight w:val="none"/>
                <w:lang w:eastAsia="zh-CN"/>
              </w:rPr>
              <w:t>1.有效书写面积</w:t>
            </w:r>
            <w:r>
              <w:rPr>
                <w:rFonts w:hint="eastAsia"/>
                <w:highlight w:val="none"/>
                <w:lang w:eastAsia="zh-CN"/>
              </w:rPr>
              <w:t>长边1000mm偏差值</w:t>
            </w:r>
            <w:r>
              <w:rPr>
                <w:spacing w:val="2"/>
                <w:highlight w:val="none"/>
                <w:lang w:eastAsia="zh-CN"/>
              </w:rPr>
              <w:t>±</w:t>
            </w:r>
            <w:r>
              <w:rPr>
                <w:rFonts w:hint="eastAsia"/>
                <w:spacing w:val="2"/>
                <w:highlight w:val="none"/>
                <w:lang w:eastAsia="zh-CN"/>
              </w:rPr>
              <w:t>5mm，短边800mm偏差值</w:t>
            </w:r>
            <w:r>
              <w:rPr>
                <w:spacing w:val="2"/>
                <w:highlight w:val="none"/>
                <w:lang w:eastAsia="zh-CN"/>
              </w:rPr>
              <w:t>±</w:t>
            </w:r>
            <w:r>
              <w:rPr>
                <w:rFonts w:hint="eastAsia"/>
                <w:spacing w:val="2"/>
                <w:highlight w:val="none"/>
                <w:lang w:eastAsia="zh-CN"/>
              </w:rPr>
              <w:t>3mm</w:t>
            </w:r>
            <w:r>
              <w:rPr>
                <w:spacing w:val="-1"/>
                <w:highlight w:val="none"/>
                <w:lang w:eastAsia="zh-CN"/>
              </w:rPr>
              <w:t xml:space="preserve"> </w:t>
            </w:r>
            <w:r>
              <w:rPr>
                <w:highlight w:val="none"/>
                <w:lang w:eastAsia="zh-CN"/>
              </w:rPr>
              <w:t>；</w:t>
            </w:r>
          </w:p>
          <w:p w14:paraId="4421029A">
            <w:pPr>
              <w:pStyle w:val="35"/>
              <w:spacing w:before="58" w:line="251" w:lineRule="auto"/>
              <w:ind w:right="90"/>
              <w:rPr>
                <w:rFonts w:hint="eastAsia"/>
                <w:spacing w:val="-1"/>
                <w:highlight w:val="none"/>
                <w:lang w:eastAsia="zh-CN"/>
              </w:rPr>
            </w:pPr>
            <w:r>
              <w:rPr>
                <w:spacing w:val="-1"/>
                <w:highlight w:val="none"/>
                <w:lang w:eastAsia="zh-CN"/>
              </w:rPr>
              <w:t>2.采用搪瓷钢板（基板厚度≥0.4mm），表面光滑平整，无凹凸、气泡、划痕等缺陷；板面符合《书写板钢板搪瓷》GB/T 37773-2019要求；表面铅笔硬度≥6H（按</w:t>
            </w:r>
            <w:r>
              <w:rPr>
                <w:rFonts w:hint="eastAsia"/>
                <w:spacing w:val="-1"/>
                <w:highlight w:val="none"/>
                <w:lang w:eastAsia="zh-CN"/>
              </w:rPr>
              <w:t>《</w:t>
            </w:r>
            <w:r>
              <w:rPr>
                <w:spacing w:val="-1"/>
                <w:highlight w:val="none"/>
                <w:lang w:eastAsia="zh-CN"/>
              </w:rPr>
              <w:t>色漆和清漆 铅笔法测定漆膜硬度</w:t>
            </w:r>
            <w:r>
              <w:rPr>
                <w:rFonts w:hint="eastAsia"/>
                <w:spacing w:val="-1"/>
                <w:highlight w:val="none"/>
                <w:lang w:eastAsia="zh-CN"/>
              </w:rPr>
              <w:t>》（</w:t>
            </w:r>
            <w:r>
              <w:rPr>
                <w:spacing w:val="-1"/>
                <w:highlight w:val="none"/>
                <w:lang w:eastAsia="zh-CN"/>
              </w:rPr>
              <w:t>GB/T 6739-2022</w:t>
            </w:r>
            <w:r>
              <w:rPr>
                <w:rFonts w:hint="eastAsia"/>
                <w:spacing w:val="-1"/>
                <w:highlight w:val="none"/>
                <w:lang w:eastAsia="zh-CN"/>
              </w:rPr>
              <w:t>）</w:t>
            </w:r>
            <w:r>
              <w:rPr>
                <w:spacing w:val="-1"/>
                <w:highlight w:val="none"/>
                <w:lang w:eastAsia="zh-CN"/>
              </w:rPr>
              <w:t>测试），光泽度≤12光泽单位；</w:t>
            </w:r>
          </w:p>
          <w:p w14:paraId="6053D3FF">
            <w:pPr>
              <w:pStyle w:val="35"/>
              <w:spacing w:before="58" w:line="251" w:lineRule="auto"/>
              <w:ind w:right="90"/>
              <w:rPr>
                <w:rFonts w:hint="eastAsia"/>
                <w:spacing w:val="-1"/>
                <w:highlight w:val="none"/>
                <w:lang w:eastAsia="zh-CN"/>
              </w:rPr>
            </w:pPr>
            <w:r>
              <w:rPr>
                <w:spacing w:val="-1"/>
                <w:highlight w:val="none"/>
                <w:lang w:eastAsia="zh-CN"/>
              </w:rPr>
              <w:t>3. 支持水性马克笔书写，线迹流畅、笔道均匀、无断线现象；经干式或湿式白板擦往复擦拭两次后，距1m处观察不应留有残留字迹；耐擦次数不少于10000次（参照《书写板安全卫生要求》GB 28231-2011相关方法测试）；</w:t>
            </w:r>
          </w:p>
          <w:p w14:paraId="0AF8CA83">
            <w:pPr>
              <w:pStyle w:val="35"/>
              <w:spacing w:before="69" w:line="242" w:lineRule="auto"/>
              <w:ind w:right="172"/>
              <w:rPr>
                <w:rFonts w:hint="eastAsia"/>
                <w:highlight w:val="none"/>
                <w:lang w:eastAsia="zh-CN"/>
              </w:rPr>
            </w:pPr>
            <w:r>
              <w:rPr>
                <w:spacing w:val="-1"/>
                <w:highlight w:val="none"/>
                <w:lang w:eastAsia="zh-CN"/>
              </w:rPr>
              <w:t>4.板面具有磁性吸附功能，可吸附磁性教具、图钉等；</w:t>
            </w:r>
          </w:p>
          <w:p w14:paraId="057DB426">
            <w:pPr>
              <w:pStyle w:val="35"/>
              <w:spacing w:before="70" w:line="253" w:lineRule="auto"/>
              <w:ind w:right="154"/>
              <w:rPr>
                <w:rFonts w:hint="eastAsia"/>
                <w:highlight w:val="none"/>
                <w:lang w:eastAsia="zh-CN"/>
              </w:rPr>
            </w:pPr>
            <w:r>
              <w:rPr>
                <w:highlight w:val="none"/>
                <w:lang w:eastAsia="zh-CN"/>
              </w:rPr>
              <w:t>5.板面可从支架上快速拆卸，无需工具或仅需简单操作即可分离，方便搬运及存放；板面背面平整光滑，拆卸后可平稳平放于实验台或课桌上使用，放置时板面不易滑动移位；</w:t>
            </w:r>
          </w:p>
          <w:p w14:paraId="4274BDE4">
            <w:pPr>
              <w:pStyle w:val="35"/>
              <w:spacing w:before="68" w:line="258" w:lineRule="auto"/>
              <w:ind w:right="166"/>
              <w:rPr>
                <w:rFonts w:hint="eastAsia"/>
                <w:spacing w:val="-1"/>
                <w:highlight w:val="none"/>
                <w:lang w:eastAsia="zh-CN"/>
              </w:rPr>
            </w:pPr>
            <w:r>
              <w:rPr>
                <w:spacing w:val="-1"/>
                <w:highlight w:val="none"/>
                <w:lang w:eastAsia="zh-CN"/>
              </w:rPr>
              <w:t>6.配备独立移动式支架，采用冷轧钢材质（壁厚≥1.</w:t>
            </w:r>
            <w:r>
              <w:rPr>
                <w:rFonts w:hint="eastAsia"/>
                <w:spacing w:val="-1"/>
                <w:highlight w:val="none"/>
                <w:lang w:eastAsia="zh-CN"/>
              </w:rPr>
              <w:t>0</w:t>
            </w:r>
            <w:r>
              <w:rPr>
                <w:spacing w:val="-1"/>
                <w:highlight w:val="none"/>
                <w:lang w:eastAsia="zh-CN"/>
              </w:rPr>
              <w:t>mm），承重能力≥50kg，结构稳固；</w:t>
            </w:r>
          </w:p>
          <w:p w14:paraId="13A5B47D">
            <w:pPr>
              <w:pStyle w:val="35"/>
              <w:spacing w:before="68" w:line="258" w:lineRule="auto"/>
              <w:ind w:right="166"/>
              <w:rPr>
                <w:rFonts w:hint="eastAsia"/>
                <w:highlight w:val="none"/>
                <w:lang w:eastAsia="zh-CN"/>
              </w:rPr>
            </w:pPr>
            <w:r>
              <w:rPr>
                <w:rFonts w:hint="eastAsia"/>
                <w:spacing w:val="-1"/>
                <w:highlight w:val="none"/>
                <w:lang w:eastAsia="zh-CN"/>
              </w:rPr>
              <w:t>7.</w:t>
            </w:r>
            <w:r>
              <w:rPr>
                <w:spacing w:val="-1"/>
                <w:highlight w:val="none"/>
                <w:lang w:eastAsia="zh-CN"/>
              </w:rPr>
              <w:t>支架高度可在1200mm～1600mm范围内自由调节（指板面上沿离地高度）；支架底座配备万向轮（带刹车装置），制动后整体不移动、承载状态下倾斜≥10°不倾倒，确保使用安全稳定；</w:t>
            </w:r>
          </w:p>
          <w:p w14:paraId="71402348">
            <w:pPr>
              <w:pStyle w:val="35"/>
              <w:spacing w:before="68" w:line="258" w:lineRule="auto"/>
              <w:ind w:right="166"/>
              <w:rPr>
                <w:rFonts w:hint="eastAsia" w:asciiTheme="minorEastAsia" w:hAnsiTheme="minorEastAsia"/>
                <w:kern w:val="0"/>
                <w:sz w:val="24"/>
                <w:szCs w:val="24"/>
                <w:highlight w:val="none"/>
                <w:lang w:eastAsia="zh-CN"/>
              </w:rPr>
            </w:pPr>
            <w:r>
              <w:rPr>
                <w:rFonts w:hint="eastAsia"/>
                <w:spacing w:val="-1"/>
                <w:highlight w:val="none"/>
                <w:lang w:eastAsia="zh-CN"/>
              </w:rPr>
              <w:t>8</w:t>
            </w:r>
            <w:r>
              <w:rPr>
                <w:spacing w:val="-1"/>
                <w:highlight w:val="none"/>
                <w:lang w:eastAsia="zh-CN"/>
              </w:rPr>
              <w:t>.</w:t>
            </w:r>
            <w:r>
              <w:rPr>
                <w:rFonts w:ascii="Segoe UI" w:hAnsi="Segoe UI" w:cs="Segoe UI"/>
                <w:color w:val="3B3B3B"/>
                <w:sz w:val="20"/>
                <w:szCs w:val="20"/>
                <w:highlight w:val="none"/>
                <w:shd w:val="clear" w:color="auto" w:fill="FFFFFF"/>
                <w:lang w:eastAsia="zh-CN"/>
              </w:rPr>
              <w:t xml:space="preserve"> </w:t>
            </w:r>
            <w:r>
              <w:rPr>
                <w:spacing w:val="-1"/>
                <w:highlight w:val="none"/>
                <w:lang w:eastAsia="zh-CN"/>
              </w:rPr>
              <w:t>边框采用铝合金材质（型材壁厚≥1.0mm），边角圆角处理，无尖锐棱角。</w:t>
            </w:r>
          </w:p>
        </w:tc>
        <w:tc>
          <w:tcPr>
            <w:tcW w:w="700" w:type="dxa"/>
            <w:tcBorders>
              <w:top w:val="nil"/>
              <w:left w:val="nil"/>
              <w:bottom w:val="single" w:color="auto" w:sz="4" w:space="0"/>
              <w:right w:val="single" w:color="auto" w:sz="4" w:space="0"/>
            </w:tcBorders>
          </w:tcPr>
          <w:p w14:paraId="2ABFD45E">
            <w:pPr>
              <w:widowControl/>
              <w:textAlignment w:val="bottom"/>
              <w:rPr>
                <w:rFonts w:hint="eastAsia" w:cs="宋体" w:asciiTheme="minorEastAsia" w:hAnsiTheme="minorEastAsia"/>
                <w:kern w:val="0"/>
                <w:sz w:val="24"/>
                <w:szCs w:val="24"/>
              </w:rPr>
            </w:pPr>
            <w:r>
              <w:rPr>
                <w:rFonts w:hint="eastAsia" w:cs="宋体" w:asciiTheme="minorEastAsia" w:hAnsiTheme="minorEastAsia"/>
                <w:kern w:val="0"/>
                <w:sz w:val="24"/>
                <w:szCs w:val="24"/>
              </w:rPr>
              <w:t>张</w:t>
            </w:r>
          </w:p>
        </w:tc>
        <w:tc>
          <w:tcPr>
            <w:tcW w:w="733" w:type="dxa"/>
            <w:tcBorders>
              <w:top w:val="nil"/>
              <w:left w:val="single" w:color="auto" w:sz="4" w:space="0"/>
              <w:bottom w:val="single" w:color="auto" w:sz="4" w:space="0"/>
              <w:right w:val="single" w:color="auto" w:sz="4" w:space="0"/>
            </w:tcBorders>
          </w:tcPr>
          <w:p w14:paraId="4D4AB117">
            <w:pPr>
              <w:widowControl/>
              <w:jc w:val="center"/>
              <w:textAlignment w:val="bottom"/>
              <w:rPr>
                <w:rFonts w:hint="eastAsia" w:cs="宋体" w:asciiTheme="minorEastAsia" w:hAnsiTheme="minorEastAsia"/>
                <w:kern w:val="0"/>
                <w:sz w:val="24"/>
                <w:szCs w:val="24"/>
              </w:rPr>
            </w:pPr>
            <w:r>
              <w:rPr>
                <w:rFonts w:hint="eastAsia" w:cs="宋体" w:asciiTheme="minorEastAsia" w:hAnsiTheme="minorEastAsia"/>
                <w:kern w:val="0"/>
                <w:sz w:val="24"/>
                <w:szCs w:val="24"/>
              </w:rPr>
              <w:t>24</w:t>
            </w:r>
          </w:p>
        </w:tc>
      </w:tr>
      <w:tr w14:paraId="2CE923FA">
        <w:tblPrEx>
          <w:tblCellMar>
            <w:top w:w="0" w:type="dxa"/>
            <w:left w:w="108" w:type="dxa"/>
            <w:bottom w:w="0" w:type="dxa"/>
            <w:right w:w="108" w:type="dxa"/>
          </w:tblCellMar>
        </w:tblPrEx>
        <w:trPr>
          <w:trHeight w:val="780" w:hRule="atLeast"/>
        </w:trPr>
        <w:tc>
          <w:tcPr>
            <w:tcW w:w="1403" w:type="dxa"/>
            <w:gridSpan w:val="2"/>
            <w:tcBorders>
              <w:top w:val="single" w:color="auto" w:sz="4" w:space="0"/>
              <w:left w:val="single" w:color="auto" w:sz="4" w:space="0"/>
              <w:bottom w:val="single" w:color="auto" w:sz="4" w:space="0"/>
              <w:right w:val="single" w:color="auto" w:sz="4" w:space="0"/>
            </w:tcBorders>
          </w:tcPr>
          <w:p w14:paraId="65789491">
            <w:pPr>
              <w:widowControl/>
              <w:rPr>
                <w:rFonts w:ascii="Arial" w:hAnsi="Arial" w:eastAsia="宋体" w:cs="Arial"/>
                <w:kern w:val="0"/>
                <w:sz w:val="24"/>
                <w:szCs w:val="24"/>
              </w:rPr>
            </w:pPr>
            <w:r>
              <w:rPr>
                <w:rFonts w:hint="eastAsia" w:ascii="Arial" w:hAnsi="Arial" w:eastAsia="宋体" w:cs="Arial"/>
                <w:kern w:val="0"/>
                <w:sz w:val="24"/>
                <w:szCs w:val="24"/>
              </w:rPr>
              <w:t>商务要求</w:t>
            </w:r>
          </w:p>
        </w:tc>
        <w:tc>
          <w:tcPr>
            <w:tcW w:w="8434" w:type="dxa"/>
            <w:gridSpan w:val="4"/>
            <w:tcBorders>
              <w:top w:val="single" w:color="auto" w:sz="4" w:space="0"/>
              <w:left w:val="nil"/>
              <w:bottom w:val="single" w:color="auto" w:sz="4" w:space="0"/>
              <w:right w:val="single" w:color="auto" w:sz="4" w:space="0"/>
            </w:tcBorders>
            <w:vAlign w:val="center"/>
          </w:tcPr>
          <w:p w14:paraId="52CEBA40">
            <w:pPr>
              <w:spacing w:line="360" w:lineRule="auto"/>
              <w:jc w:val="left"/>
            </w:pPr>
            <w:r>
              <w:rPr>
                <w:rFonts w:hint="eastAsia"/>
              </w:rPr>
              <w:t>1.供货时间：自合同签订之日起</w:t>
            </w:r>
            <w:r>
              <w:rPr>
                <w:rFonts w:hint="eastAsia"/>
                <w:u w:val="single"/>
              </w:rPr>
              <w:t xml:space="preserve"> 3个月</w:t>
            </w:r>
            <w:r>
              <w:rPr>
                <w:rFonts w:hint="eastAsia"/>
              </w:rPr>
              <w:t>内验收合格并交付使用。</w:t>
            </w:r>
          </w:p>
          <w:p w14:paraId="1A9BCFB4">
            <w:pPr>
              <w:spacing w:line="360" w:lineRule="auto"/>
              <w:jc w:val="left"/>
              <w:rPr>
                <w:rFonts w:cs="Times New Roman"/>
                <w:szCs w:val="21"/>
              </w:rPr>
            </w:pPr>
            <w:r>
              <w:rPr>
                <w:rFonts w:hint="eastAsia"/>
              </w:rPr>
              <w:t>质保期：自验收合格并交付使用之日起</w:t>
            </w:r>
            <w:r>
              <w:rPr>
                <w:rFonts w:hint="eastAsia"/>
                <w:u w:val="single"/>
              </w:rPr>
              <w:t xml:space="preserve"> 3 </w:t>
            </w:r>
            <w:r>
              <w:rPr>
                <w:rFonts w:hint="eastAsia"/>
              </w:rPr>
              <w:t>年。</w:t>
            </w:r>
          </w:p>
          <w:p w14:paraId="3EF726CB">
            <w:pPr>
              <w:pStyle w:val="5"/>
              <w:rPr>
                <w:rFonts w:cs="Times New Roman"/>
                <w:szCs w:val="21"/>
              </w:rPr>
            </w:pPr>
            <w:r>
              <w:rPr>
                <w:rFonts w:hint="eastAsia" w:cs="Times New Roman"/>
                <w:szCs w:val="21"/>
              </w:rPr>
              <w:t>2.技术支持和服务要求</w:t>
            </w:r>
          </w:p>
          <w:p w14:paraId="06FBDB3E">
            <w:pPr>
              <w:snapToGrid w:val="0"/>
              <w:spacing w:line="276" w:lineRule="auto"/>
              <w:rPr>
                <w:rFonts w:hint="eastAsia" w:ascii="宋体" w:hAnsi="宋体"/>
                <w:kern w:val="0"/>
              </w:rPr>
            </w:pPr>
            <w:r>
              <w:rPr>
                <w:rFonts w:hint="eastAsia" w:ascii="宋体" w:hAnsi="宋体"/>
                <w:kern w:val="0"/>
              </w:rPr>
              <w:t>（1）本</w:t>
            </w:r>
            <w:r>
              <w:rPr>
                <w:rFonts w:ascii="宋体" w:hAnsi="宋体"/>
                <w:kern w:val="0"/>
              </w:rPr>
              <w:t>项目所提供的全部货物（含硬件、软件及服务）必须完全满足</w:t>
            </w:r>
            <w:r>
              <w:rPr>
                <w:rFonts w:hint="eastAsia" w:ascii="宋体" w:hAnsi="宋体"/>
                <w:kern w:val="0"/>
              </w:rPr>
              <w:t>报价</w:t>
            </w:r>
            <w:r>
              <w:rPr>
                <w:rFonts w:ascii="宋体" w:hAnsi="宋体"/>
                <w:kern w:val="0"/>
              </w:rPr>
              <w:t>文件所述要求，如中标</w:t>
            </w:r>
            <w:r>
              <w:rPr>
                <w:rFonts w:hint="eastAsia" w:ascii="宋体" w:hAnsi="宋体"/>
                <w:kern w:val="0"/>
              </w:rPr>
              <w:t>报价人</w:t>
            </w:r>
            <w:r>
              <w:rPr>
                <w:rFonts w:ascii="宋体" w:hAnsi="宋体"/>
                <w:kern w:val="0"/>
              </w:rPr>
              <w:t>在</w:t>
            </w:r>
            <w:r>
              <w:rPr>
                <w:rFonts w:hint="eastAsia" w:ascii="宋体" w:hAnsi="宋体"/>
                <w:kern w:val="0"/>
              </w:rPr>
              <w:t>报价</w:t>
            </w:r>
            <w:r>
              <w:rPr>
                <w:rFonts w:ascii="宋体" w:hAnsi="宋体"/>
                <w:kern w:val="0"/>
              </w:rPr>
              <w:t>文件中有承诺正偏离的应按其正偏离内容执行。</w:t>
            </w:r>
          </w:p>
          <w:p w14:paraId="13EB96C7">
            <w:pPr>
              <w:pStyle w:val="5"/>
              <w:rPr>
                <w:rFonts w:hint="eastAsia" w:ascii="宋体" w:hAnsi="宋体"/>
                <w:kern w:val="0"/>
              </w:rPr>
            </w:pPr>
            <w:r>
              <w:rPr>
                <w:rFonts w:hint="eastAsia" w:ascii="宋体" w:hAnsi="宋体"/>
                <w:kern w:val="0"/>
              </w:rPr>
              <w:t>（2）本</w:t>
            </w:r>
            <w:r>
              <w:rPr>
                <w:rFonts w:ascii="宋体" w:hAnsi="宋体"/>
                <w:kern w:val="0"/>
              </w:rPr>
              <w:t>项目所提供的全部货物</w:t>
            </w:r>
            <w:r>
              <w:rPr>
                <w:rFonts w:hint="eastAsia" w:ascii="宋体" w:hAnsi="宋体"/>
                <w:kern w:val="0"/>
              </w:rPr>
              <w:t>必须是全新完好的、符合国家及行业相关标准、可追溯并享受原厂售后服务的正规合格产品</w:t>
            </w:r>
            <w:r>
              <w:rPr>
                <w:rFonts w:ascii="宋体" w:hAnsi="宋体"/>
                <w:kern w:val="0"/>
              </w:rPr>
              <w:t>。</w:t>
            </w:r>
            <w:r>
              <w:rPr>
                <w:rFonts w:hint="eastAsia"/>
              </w:rPr>
              <w:t>若产品在运输过程中损坏须无偿调换同样产品，以达到供货要求。国家有关规定报价人承诺实行“三包”（包退、包换、包修）服务，其他售后服务按成交人提交的售后服务承诺书执行。</w:t>
            </w:r>
            <w:r>
              <w:rPr>
                <w:rFonts w:ascii="宋体" w:hAnsi="宋体"/>
                <w:kern w:val="0"/>
              </w:rPr>
              <w:t>中标</w:t>
            </w:r>
            <w:r>
              <w:rPr>
                <w:rFonts w:hint="eastAsia" w:ascii="宋体" w:hAnsi="宋体"/>
                <w:kern w:val="0"/>
              </w:rPr>
              <w:t>报价人</w:t>
            </w:r>
            <w:r>
              <w:rPr>
                <w:rFonts w:ascii="宋体" w:hAnsi="宋体"/>
                <w:kern w:val="0"/>
              </w:rPr>
              <w:t>售后服务中维护使用的备品备件及易损件须为原厂全新配件，未经采购人同意不得使用非原厂配件。且进行维护的人员须为中标</w:t>
            </w:r>
            <w:r>
              <w:rPr>
                <w:rFonts w:hint="eastAsia" w:ascii="宋体" w:hAnsi="宋体"/>
                <w:kern w:val="0"/>
              </w:rPr>
              <w:t>报价人</w:t>
            </w:r>
            <w:r>
              <w:rPr>
                <w:rFonts w:ascii="宋体" w:hAnsi="宋体"/>
                <w:kern w:val="0"/>
              </w:rPr>
              <w:t>认可的有资质专业技术人员。</w:t>
            </w:r>
          </w:p>
          <w:p w14:paraId="2E2783FA">
            <w:pPr>
              <w:snapToGrid w:val="0"/>
              <w:spacing w:line="276" w:lineRule="auto"/>
              <w:rPr>
                <w:rFonts w:hint="eastAsia" w:ascii="宋体" w:hAnsi="宋体"/>
                <w:kern w:val="0"/>
              </w:rPr>
            </w:pPr>
            <w:r>
              <w:rPr>
                <w:rFonts w:hint="eastAsia" w:ascii="宋体" w:hAnsi="宋体"/>
                <w:kern w:val="0"/>
              </w:rPr>
              <w:t>（3）</w:t>
            </w:r>
            <w:r>
              <w:rPr>
                <w:rFonts w:ascii="宋体" w:hAnsi="宋体"/>
                <w:kern w:val="0"/>
              </w:rPr>
              <w:t>对于</w:t>
            </w:r>
            <w:r>
              <w:rPr>
                <w:rFonts w:hint="eastAsia" w:ascii="宋体" w:hAnsi="宋体"/>
                <w:kern w:val="0"/>
              </w:rPr>
              <w:t>采购文件中定制货物，报价人必须在报价文件中列出所投货物重要组件的品牌型号；</w:t>
            </w:r>
            <w:r>
              <w:rPr>
                <w:rFonts w:ascii="宋体" w:hAnsi="宋体"/>
                <w:kern w:val="0"/>
              </w:rPr>
              <w:t>在送达采购人指定地点时已完成组装的定制货物，由于其组装状态，难以对货物的重要组件进行核实，</w:t>
            </w:r>
            <w:r>
              <w:rPr>
                <w:rFonts w:hint="eastAsia" w:ascii="宋体" w:hAnsi="宋体"/>
                <w:kern w:val="0"/>
              </w:rPr>
              <w:t>报价人必须</w:t>
            </w:r>
            <w:r>
              <w:rPr>
                <w:rFonts w:ascii="宋体" w:hAnsi="宋体"/>
                <w:kern w:val="0"/>
              </w:rPr>
              <w:t>在上述货物生产组装前十个工作日书面告知采购人，采购人可根据项目实际情况，到生产厂家进行预验收，以便确认所供货物是否按合同约定采用相应的组件</w:t>
            </w:r>
            <w:r>
              <w:rPr>
                <w:rFonts w:hint="eastAsia" w:ascii="宋体" w:hAnsi="宋体"/>
                <w:kern w:val="0"/>
              </w:rPr>
              <w:t>、生产工艺及</w:t>
            </w:r>
            <w:r>
              <w:rPr>
                <w:rFonts w:ascii="宋体" w:hAnsi="宋体"/>
                <w:kern w:val="0"/>
              </w:rPr>
              <w:t>参数是否达到合同约定，费用含在</w:t>
            </w:r>
            <w:r>
              <w:rPr>
                <w:rFonts w:hint="eastAsia" w:ascii="宋体" w:hAnsi="宋体"/>
                <w:kern w:val="0"/>
              </w:rPr>
              <w:t>报价</w:t>
            </w:r>
            <w:r>
              <w:rPr>
                <w:rFonts w:ascii="宋体" w:hAnsi="宋体"/>
                <w:kern w:val="0"/>
              </w:rPr>
              <w:t>报价中。</w:t>
            </w:r>
          </w:p>
          <w:p w14:paraId="32BF65ED">
            <w:pPr>
              <w:snapToGrid w:val="0"/>
              <w:spacing w:line="276" w:lineRule="auto"/>
              <w:rPr>
                <w:rFonts w:hint="eastAsia" w:ascii="宋体" w:hAnsi="宋体"/>
                <w:kern w:val="0"/>
              </w:rPr>
            </w:pPr>
            <w:r>
              <w:rPr>
                <w:rFonts w:hint="eastAsia" w:ascii="宋体" w:hAnsi="宋体"/>
                <w:kern w:val="0"/>
              </w:rPr>
              <w:t>（4）</w:t>
            </w:r>
            <w:r>
              <w:rPr>
                <w:rFonts w:ascii="宋体" w:hAnsi="宋体"/>
                <w:kern w:val="0"/>
              </w:rPr>
              <w:t>本项目所含软件（如有）必须为符合采购人适用范围的正版软件（非试用版），</w:t>
            </w:r>
            <w:r>
              <w:rPr>
                <w:rFonts w:hint="eastAsia" w:ascii="宋体" w:hAnsi="宋体"/>
                <w:kern w:val="0"/>
              </w:rPr>
              <w:t>且根据网络安全法及信息系统等级保护的相关规定，在正式验收前必须经采购人网信部门进行安全扫描，扫描合格后方能进行正式部署及正式验收。若中标报价人对扫描结果有异议，可委托双方认可的具备相关资质第三方检测机构进行检测，相关费用由中标报价人承担。</w:t>
            </w:r>
          </w:p>
          <w:p w14:paraId="093DFE2F">
            <w:pPr>
              <w:snapToGrid w:val="0"/>
              <w:spacing w:line="276" w:lineRule="auto"/>
              <w:rPr>
                <w:rFonts w:cs="Times New Roman"/>
                <w:szCs w:val="21"/>
              </w:rPr>
            </w:pPr>
            <w:r>
              <w:rPr>
                <w:rFonts w:hint="eastAsia" w:ascii="宋体" w:hAnsi="宋体"/>
                <w:kern w:val="0"/>
              </w:rPr>
              <w:t>6、</w:t>
            </w:r>
            <w:r>
              <w:rPr>
                <w:rFonts w:ascii="宋体" w:hAnsi="宋体"/>
                <w:kern w:val="0"/>
              </w:rPr>
              <w:t>本项目</w:t>
            </w:r>
            <w:r>
              <w:rPr>
                <w:rFonts w:hint="eastAsia" w:ascii="宋体" w:hAnsi="宋体"/>
                <w:kern w:val="0"/>
              </w:rPr>
              <w:t>如有</w:t>
            </w:r>
            <w:r>
              <w:rPr>
                <w:rFonts w:ascii="宋体" w:hAnsi="宋体"/>
                <w:kern w:val="0"/>
              </w:rPr>
              <w:t>软件（</w:t>
            </w:r>
            <w:r>
              <w:rPr>
                <w:rFonts w:hint="eastAsia" w:ascii="宋体" w:hAnsi="宋体"/>
                <w:kern w:val="0"/>
              </w:rPr>
              <w:t>不包括随机出厂预装</w:t>
            </w:r>
            <w:r>
              <w:rPr>
                <w:rFonts w:ascii="宋体" w:hAnsi="宋体"/>
                <w:kern w:val="0"/>
              </w:rPr>
              <w:t>）</w:t>
            </w:r>
            <w:r>
              <w:rPr>
                <w:rFonts w:hint="eastAsia" w:ascii="宋体" w:hAnsi="宋体"/>
                <w:kern w:val="0"/>
              </w:rPr>
              <w:t>除安装在采购人本地服务器（计算机）上，还必须一式两份用U盘或移动硬盘（接口USB3.0以上质保期不低于三年）将软件安装包、软件使用说明书、技术文档、软件常规操作录屏分目录存放，验收前一并交付给采购人。</w:t>
            </w:r>
            <w:r>
              <w:rPr>
                <w:rFonts w:ascii="宋体" w:hAnsi="宋体"/>
                <w:kern w:val="0"/>
              </w:rPr>
              <w:t>在本项目合同约定的质保期过后，</w:t>
            </w:r>
            <w:r>
              <w:rPr>
                <w:rFonts w:hint="eastAsia" w:ascii="宋体" w:hAnsi="宋体"/>
                <w:kern w:val="0"/>
              </w:rPr>
              <w:t>中标报价人</w:t>
            </w:r>
            <w:r>
              <w:rPr>
                <w:rFonts w:ascii="宋体" w:hAnsi="宋体"/>
                <w:kern w:val="0"/>
              </w:rPr>
              <w:t>需确保该软件其功能仍与交付验收时一致不受限制</w:t>
            </w:r>
            <w:r>
              <w:rPr>
                <w:rFonts w:hint="eastAsia" w:ascii="宋体" w:hAnsi="宋体"/>
                <w:kern w:val="0"/>
              </w:rPr>
              <w:t>或减少</w:t>
            </w:r>
            <w:r>
              <w:rPr>
                <w:rFonts w:ascii="宋体" w:hAnsi="宋体"/>
                <w:kern w:val="0"/>
              </w:rPr>
              <w:t>（如合同另有约定的按合同约定），质保期过后如需对软件进行升级或售后服务双方再行协商。</w:t>
            </w:r>
          </w:p>
          <w:p w14:paraId="583CB988">
            <w:pPr>
              <w:pStyle w:val="5"/>
              <w:rPr>
                <w:rFonts w:cs="Times New Roman"/>
                <w:b/>
                <w:bCs/>
                <w:szCs w:val="21"/>
              </w:rPr>
            </w:pPr>
            <w:r>
              <w:rPr>
                <w:rFonts w:hint="eastAsia" w:cs="Times New Roman"/>
                <w:b/>
                <w:bCs/>
                <w:szCs w:val="21"/>
              </w:rPr>
              <w:t>3.知识产权</w:t>
            </w:r>
          </w:p>
          <w:p w14:paraId="4372A81F">
            <w:pPr>
              <w:pStyle w:val="5"/>
              <w:rPr>
                <w:rFonts w:cs="Times New Roman"/>
                <w:szCs w:val="21"/>
              </w:rPr>
            </w:pPr>
            <w:r>
              <w:rPr>
                <w:rFonts w:hint="eastAsia" w:cs="Times New Roman"/>
                <w:szCs w:val="21"/>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1DDFAC93">
            <w:pPr>
              <w:pStyle w:val="5"/>
              <w:rPr>
                <w:rFonts w:cs="Times New Roman"/>
                <w:szCs w:val="21"/>
              </w:rPr>
            </w:pPr>
            <w:r>
              <w:rPr>
                <w:rFonts w:hint="eastAsia" w:cs="Times New Roman"/>
                <w:szCs w:val="21"/>
              </w:rPr>
              <w:t>（2）报价人因未经授权而实施的商业性复制行为构成违约或侵权责任造成采购人损失的，由其</w:t>
            </w:r>
            <w:r>
              <w:rPr>
                <w:rFonts w:hint="eastAsia" w:cs="Times New Roman"/>
                <w:szCs w:val="21"/>
                <w:lang w:eastAsia="zh-CN"/>
              </w:rPr>
              <w:t>承担</w:t>
            </w:r>
            <w:r>
              <w:rPr>
                <w:rFonts w:hint="eastAsia" w:cs="Times New Roman"/>
                <w:szCs w:val="21"/>
              </w:rPr>
              <w:t>相关责任并赔偿采购人经济损失。</w:t>
            </w:r>
          </w:p>
          <w:p w14:paraId="5C7B3E89">
            <w:pPr>
              <w:snapToGrid w:val="0"/>
              <w:spacing w:line="276" w:lineRule="auto"/>
              <w:rPr>
                <w:rFonts w:cs="Times New Roman"/>
                <w:szCs w:val="21"/>
              </w:rPr>
            </w:pPr>
            <w:r>
              <w:rPr>
                <w:rFonts w:hint="eastAsia" w:ascii="宋体" w:hAnsi="宋体"/>
                <w:kern w:val="0"/>
              </w:rPr>
              <w:t>（3）</w:t>
            </w:r>
            <w:r>
              <w:rPr>
                <w:rFonts w:ascii="宋体" w:hAnsi="宋体"/>
                <w:kern w:val="0"/>
              </w:rPr>
              <w:t>中标</w:t>
            </w:r>
            <w:r>
              <w:rPr>
                <w:rFonts w:hint="eastAsia" w:ascii="宋体" w:hAnsi="宋体"/>
                <w:kern w:val="0"/>
              </w:rPr>
              <w:t>报价人</w:t>
            </w:r>
            <w:r>
              <w:rPr>
                <w:rFonts w:ascii="宋体" w:hAnsi="宋体"/>
                <w:kern w:val="0"/>
              </w:rPr>
              <w:t>应保证针对本项目的货物（含硬件、软件及服务）</w:t>
            </w:r>
            <w:r>
              <w:rPr>
                <w:rFonts w:hint="eastAsia" w:ascii="宋体" w:hAnsi="宋体"/>
                <w:kern w:val="0"/>
                <w:lang w:eastAsia="zh-CN"/>
              </w:rPr>
              <w:t>涉及</w:t>
            </w:r>
            <w:r>
              <w:rPr>
                <w:rFonts w:ascii="宋体" w:hAnsi="宋体"/>
                <w:kern w:val="0"/>
              </w:rPr>
              <w:t>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kern w:val="0"/>
              </w:rPr>
              <w:t>报价</w:t>
            </w:r>
            <w:r>
              <w:rPr>
                <w:rFonts w:ascii="宋体" w:hAnsi="宋体"/>
                <w:kern w:val="0"/>
              </w:rPr>
              <w:t>人承担。</w:t>
            </w:r>
          </w:p>
          <w:p w14:paraId="307556FE">
            <w:pPr>
              <w:widowControl/>
              <w:adjustRightInd w:val="0"/>
              <w:snapToGrid w:val="0"/>
              <w:spacing w:line="520" w:lineRule="exact"/>
              <w:jc w:val="left"/>
              <w:rPr>
                <w:rFonts w:ascii="Arial" w:hAnsi="Arial" w:eastAsia="宋体" w:cs="Arial"/>
                <w:b/>
                <w:bCs/>
                <w:kern w:val="0"/>
                <w:szCs w:val="21"/>
              </w:rPr>
            </w:pPr>
            <w:r>
              <w:rPr>
                <w:rFonts w:hint="eastAsia" w:ascii="Arial" w:hAnsi="Arial" w:eastAsia="宋体" w:cs="Arial"/>
                <w:b/>
                <w:bCs/>
                <w:kern w:val="0"/>
                <w:szCs w:val="21"/>
              </w:rPr>
              <w:t>4.</w:t>
            </w:r>
            <w:r>
              <w:rPr>
                <w:rFonts w:ascii="Arial" w:hAnsi="Arial" w:eastAsia="宋体" w:cs="Arial"/>
                <w:b/>
                <w:bCs/>
                <w:kern w:val="0"/>
                <w:szCs w:val="21"/>
              </w:rPr>
              <w:t>付款</w:t>
            </w:r>
            <w:r>
              <w:rPr>
                <w:rFonts w:hint="eastAsia" w:ascii="Arial" w:hAnsi="Arial" w:eastAsia="宋体" w:cs="Arial"/>
                <w:b/>
                <w:bCs/>
                <w:kern w:val="0"/>
                <w:szCs w:val="21"/>
              </w:rPr>
              <w:t>要求</w:t>
            </w:r>
          </w:p>
          <w:p w14:paraId="5744B91E">
            <w:pPr>
              <w:widowControl/>
              <w:adjustRightInd w:val="0"/>
              <w:snapToGrid w:val="0"/>
              <w:spacing w:line="520" w:lineRule="exact"/>
              <w:jc w:val="left"/>
              <w:rPr>
                <w:rFonts w:ascii="Arial" w:hAnsi="Arial" w:eastAsia="宋体" w:cs="Arial"/>
                <w:kern w:val="0"/>
                <w:szCs w:val="21"/>
              </w:rPr>
            </w:pPr>
            <w:r>
              <w:rPr>
                <w:rFonts w:ascii="Arial" w:hAnsi="Arial" w:eastAsia="宋体" w:cs="Arial"/>
                <w:kern w:val="0"/>
                <w:szCs w:val="21"/>
              </w:rPr>
              <w:t>本项目无预付款，合同中所有货物全部安装调试完毕验收合格交付给</w:t>
            </w:r>
            <w:r>
              <w:rPr>
                <w:rFonts w:hint="eastAsia" w:ascii="Arial" w:hAnsi="Arial" w:eastAsia="宋体" w:cs="Arial"/>
                <w:kern w:val="0"/>
                <w:szCs w:val="21"/>
              </w:rPr>
              <w:t>采购人</w:t>
            </w:r>
            <w:r>
              <w:rPr>
                <w:rFonts w:ascii="Arial" w:hAnsi="Arial" w:eastAsia="宋体" w:cs="Arial"/>
                <w:kern w:val="0"/>
                <w:szCs w:val="21"/>
              </w:rPr>
              <w:t>使用后，被选中的</w:t>
            </w:r>
            <w:r>
              <w:rPr>
                <w:rFonts w:hint="eastAsia" w:ascii="Arial" w:hAnsi="Arial" w:eastAsia="宋体" w:cs="Arial"/>
                <w:kern w:val="0"/>
                <w:szCs w:val="21"/>
              </w:rPr>
              <w:t>报价</w:t>
            </w:r>
            <w:r>
              <w:rPr>
                <w:rFonts w:ascii="Arial" w:hAnsi="Arial" w:eastAsia="宋体" w:cs="Arial"/>
                <w:kern w:val="0"/>
                <w:szCs w:val="21"/>
              </w:rPr>
              <w:t>人开具</w:t>
            </w:r>
            <w:r>
              <w:rPr>
                <w:rFonts w:hint="eastAsia" w:ascii="Arial" w:hAnsi="Arial" w:eastAsia="宋体" w:cs="Arial"/>
                <w:kern w:val="0"/>
                <w:szCs w:val="21"/>
              </w:rPr>
              <w:t>全额增值税专用发票</w:t>
            </w:r>
            <w:r>
              <w:rPr>
                <w:rFonts w:ascii="Arial" w:hAnsi="Arial" w:eastAsia="宋体" w:cs="Arial"/>
                <w:kern w:val="0"/>
                <w:szCs w:val="21"/>
              </w:rPr>
              <w:t>给</w:t>
            </w:r>
            <w:r>
              <w:rPr>
                <w:rFonts w:hint="eastAsia" w:ascii="Arial" w:hAnsi="Arial" w:eastAsia="宋体" w:cs="Arial"/>
                <w:kern w:val="0"/>
                <w:szCs w:val="21"/>
              </w:rPr>
              <w:t>采购人</w:t>
            </w:r>
            <w:r>
              <w:rPr>
                <w:rFonts w:ascii="Arial" w:hAnsi="Arial" w:eastAsia="宋体" w:cs="Arial"/>
                <w:kern w:val="0"/>
                <w:szCs w:val="21"/>
              </w:rPr>
              <w:t>，</w:t>
            </w:r>
            <w:r>
              <w:rPr>
                <w:rFonts w:hint="eastAsia" w:ascii="Arial" w:hAnsi="Arial" w:eastAsia="宋体" w:cs="Arial"/>
                <w:kern w:val="0"/>
                <w:szCs w:val="21"/>
              </w:rPr>
              <w:t>采购人</w:t>
            </w:r>
            <w:r>
              <w:rPr>
                <w:rFonts w:ascii="Arial" w:hAnsi="Arial" w:eastAsia="宋体" w:cs="Arial"/>
                <w:kern w:val="0"/>
                <w:szCs w:val="21"/>
              </w:rPr>
              <w:t>收到发票后</w:t>
            </w:r>
            <w:r>
              <w:rPr>
                <w:rFonts w:hint="eastAsia" w:ascii="Arial" w:hAnsi="Arial" w:eastAsia="宋体" w:cs="Arial"/>
                <w:b/>
                <w:kern w:val="0"/>
                <w:szCs w:val="21"/>
                <w:u w:val="single"/>
              </w:rPr>
              <w:t xml:space="preserve"> 20 </w:t>
            </w:r>
            <w:r>
              <w:rPr>
                <w:rFonts w:hint="eastAsia" w:ascii="Arial" w:hAnsi="Arial" w:eastAsia="宋体" w:cs="Arial"/>
                <w:kern w:val="0"/>
                <w:szCs w:val="21"/>
              </w:rPr>
              <w:t>个工作日</w:t>
            </w:r>
            <w:r>
              <w:rPr>
                <w:rFonts w:ascii="Arial" w:hAnsi="Arial" w:eastAsia="宋体" w:cs="Arial"/>
                <w:kern w:val="0"/>
                <w:szCs w:val="21"/>
              </w:rPr>
              <w:t>内</w:t>
            </w:r>
            <w:r>
              <w:rPr>
                <w:rFonts w:hint="eastAsia" w:ascii="Arial" w:hAnsi="Arial" w:eastAsia="宋体" w:cs="Arial"/>
                <w:kern w:val="0"/>
                <w:szCs w:val="21"/>
              </w:rPr>
              <w:t>办理</w:t>
            </w:r>
            <w:r>
              <w:rPr>
                <w:rFonts w:ascii="Arial" w:hAnsi="Arial" w:eastAsia="宋体" w:cs="Arial"/>
                <w:kern w:val="0"/>
                <w:szCs w:val="21"/>
              </w:rPr>
              <w:t>支付手续</w:t>
            </w:r>
            <w:r>
              <w:rPr>
                <w:rFonts w:cs="Arial" w:asciiTheme="majorEastAsia" w:hAnsiTheme="majorEastAsia" w:eastAsiaTheme="majorEastAsia"/>
                <w:kern w:val="0"/>
                <w:szCs w:val="21"/>
              </w:rPr>
              <w:t>。</w:t>
            </w:r>
            <w:r>
              <w:rPr>
                <w:rFonts w:hint="eastAsia" w:cs="Arial" w:asciiTheme="majorEastAsia" w:hAnsiTheme="majorEastAsia" w:eastAsiaTheme="major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w:t>
            </w:r>
            <w:r>
              <w:rPr>
                <w:rFonts w:hint="eastAsia" w:cs="Arial" w:asciiTheme="majorEastAsia" w:hAnsiTheme="majorEastAsia" w:eastAsiaTheme="majorEastAsia"/>
                <w:kern w:val="0"/>
                <w:szCs w:val="21"/>
                <w:lang w:eastAsia="zh-CN"/>
              </w:rPr>
              <w:t>协商</w:t>
            </w:r>
            <w:r>
              <w:rPr>
                <w:rFonts w:hint="eastAsia" w:cs="Arial" w:asciiTheme="majorEastAsia" w:hAnsiTheme="majorEastAsia" w:eastAsiaTheme="majorEastAsia"/>
                <w:kern w:val="0"/>
                <w:szCs w:val="21"/>
              </w:rPr>
              <w:t>。</w:t>
            </w:r>
          </w:p>
          <w:p w14:paraId="1037B83F">
            <w:pPr>
              <w:pStyle w:val="5"/>
              <w:rPr>
                <w:rFonts w:cs="Times New Roman"/>
                <w:b/>
                <w:bCs/>
                <w:szCs w:val="21"/>
              </w:rPr>
            </w:pPr>
            <w:r>
              <w:rPr>
                <w:rFonts w:hint="eastAsia" w:ascii="Arial" w:hAnsi="Arial" w:eastAsia="宋体" w:cs="Arial"/>
                <w:b/>
                <w:bCs/>
                <w:kern w:val="0"/>
                <w:szCs w:val="21"/>
              </w:rPr>
              <w:t>5.</w:t>
            </w:r>
            <w:r>
              <w:rPr>
                <w:rFonts w:hint="eastAsia" w:cs="Times New Roman"/>
                <w:b/>
                <w:bCs/>
                <w:szCs w:val="21"/>
              </w:rPr>
              <w:t>验收要求</w:t>
            </w:r>
          </w:p>
          <w:p w14:paraId="5CB4ACEA">
            <w:pPr>
              <w:pStyle w:val="5"/>
              <w:rPr>
                <w:rFonts w:cs="Times New Roman"/>
                <w:szCs w:val="21"/>
              </w:rPr>
            </w:pPr>
            <w:r>
              <w:rPr>
                <w:rFonts w:hint="eastAsia" w:cs="Times New Roman"/>
                <w:szCs w:val="21"/>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5D86EA97">
            <w:pPr>
              <w:pStyle w:val="5"/>
              <w:rPr>
                <w:rFonts w:cs="Times New Roman"/>
                <w:szCs w:val="21"/>
              </w:rPr>
            </w:pPr>
            <w:r>
              <w:rPr>
                <w:rFonts w:hint="eastAsia" w:cs="Times New Roman"/>
                <w:szCs w:val="21"/>
              </w:rPr>
              <w:t>（2）中标报价人须确保货物为原制造商制造（或原厂组装）的全新产品，，无侵权行为、表面无划损、无任何缺陷隐患，在中国境内可依常规安全合法使用。</w:t>
            </w:r>
          </w:p>
          <w:p w14:paraId="3D63E967">
            <w:pPr>
              <w:pStyle w:val="5"/>
              <w:rPr>
                <w:rFonts w:cs="Times New Roman"/>
                <w:szCs w:val="21"/>
              </w:rPr>
            </w:pPr>
            <w:r>
              <w:rPr>
                <w:rFonts w:hint="eastAsia" w:cs="Times New Roman"/>
                <w:szCs w:val="21"/>
              </w:rPr>
              <w:t>（3）供货时中标报价人应将关键货物的用户手册、保修手册、有关单证资料及配备件等交付给采购人，使用操作及安全须知等重要资料应附有中文说明。</w:t>
            </w:r>
          </w:p>
          <w:p w14:paraId="0E8DF4C3">
            <w:pPr>
              <w:pStyle w:val="5"/>
              <w:rPr>
                <w:rFonts w:cs="Times New Roman"/>
                <w:szCs w:val="21"/>
              </w:rPr>
            </w:pPr>
            <w:r>
              <w:rPr>
                <w:rFonts w:hint="eastAsia" w:cs="Times New Roman"/>
                <w:szCs w:val="21"/>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4065149C">
            <w:pPr>
              <w:pStyle w:val="5"/>
              <w:rPr>
                <w:rFonts w:cs="Times New Roman"/>
                <w:szCs w:val="21"/>
              </w:rPr>
            </w:pPr>
            <w:r>
              <w:rPr>
                <w:rFonts w:hint="eastAsia" w:cs="Times New Roman"/>
                <w:szCs w:val="21"/>
              </w:rPr>
              <w:t>（5）中标报价人必须依照采购文件的要求和应标文件的承诺，将设备、系统安装并调试至正常运行的最佳状态，并完成采购人的人员培训方可申请采购人正式验收。</w:t>
            </w:r>
          </w:p>
          <w:p w14:paraId="19B299DB">
            <w:pPr>
              <w:pStyle w:val="5"/>
              <w:rPr>
                <w:rFonts w:cs="Times New Roman"/>
                <w:szCs w:val="21"/>
              </w:rPr>
            </w:pPr>
            <w:r>
              <w:rPr>
                <w:rFonts w:hint="eastAsia" w:cs="Times New Roman"/>
                <w:szCs w:val="21"/>
              </w:rPr>
              <w:t>（6）采购人有权委托第三方进行履约验收，履约验收费用（含运行耗材、验收专家费等全部费用）由中标报价人支付。报价人在报价时自行考虑。</w:t>
            </w:r>
          </w:p>
          <w:p w14:paraId="0F5323DF">
            <w:pPr>
              <w:snapToGrid w:val="0"/>
              <w:spacing w:line="276" w:lineRule="auto"/>
              <w:rPr>
                <w:rFonts w:cs="Times New Roman"/>
                <w:szCs w:val="21"/>
              </w:rPr>
            </w:pPr>
            <w:r>
              <w:rPr>
                <w:rFonts w:hint="eastAsia" w:cs="Times New Roman"/>
                <w:szCs w:val="21"/>
              </w:rPr>
              <w:t>（7）中标</w:t>
            </w:r>
            <w:r>
              <w:rPr>
                <w:rFonts w:hint="eastAsia" w:ascii="宋体" w:hAnsi="宋体"/>
                <w:kern w:val="0"/>
              </w:rPr>
              <w:t>报价人</w:t>
            </w:r>
            <w:r>
              <w:rPr>
                <w:rFonts w:ascii="宋体" w:hAnsi="宋体"/>
                <w:kern w:val="0"/>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szCs w:val="21"/>
              </w:rPr>
              <w:t>中标</w:t>
            </w:r>
            <w:r>
              <w:rPr>
                <w:rFonts w:hint="eastAsia" w:ascii="宋体" w:hAnsi="宋体"/>
                <w:kern w:val="0"/>
              </w:rPr>
              <w:t>报价人</w:t>
            </w:r>
            <w:r>
              <w:rPr>
                <w:rFonts w:ascii="宋体" w:hAnsi="宋体"/>
                <w:kern w:val="0"/>
              </w:rPr>
              <w:t>应在接到采购人书面反馈后三日内解决，在解决问题前此项目仍视为尚未完成安装调试。如造成最终验收合格交付时间超过合同约定的按合同相关条款执行。</w:t>
            </w:r>
          </w:p>
          <w:p w14:paraId="68F5CA86">
            <w:pPr>
              <w:pStyle w:val="5"/>
              <w:rPr>
                <w:rFonts w:cs="Times New Roman"/>
                <w:szCs w:val="21"/>
              </w:rPr>
            </w:pPr>
            <w:r>
              <w:rPr>
                <w:rFonts w:hint="eastAsia" w:cs="Times New Roman"/>
                <w:szCs w:val="21"/>
              </w:rPr>
              <w:t>如果验收时中标报价人所提供设备达不到采购项目的技术需求，在整改期限20日内中标报价人仍无法提供满足项目技术要求的设备，采购人可以终止项目，中标报价人须承担相应违约责任。</w:t>
            </w:r>
          </w:p>
        </w:tc>
      </w:tr>
    </w:tbl>
    <w:p w14:paraId="1D9DD96B">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报价人须知：（以下要求报价供应商必须满足否则视为无效）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szCs w:val="28"/>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szCs w:val="28"/>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sz w:val="24"/>
          <w:szCs w:val="36"/>
        </w:rPr>
      </w:pPr>
      <w:r>
        <w:rPr>
          <w:rFonts w:hint="eastAsia" w:asciiTheme="majorEastAsia" w:hAnsiTheme="majorEastAsia" w:eastAsiaTheme="majorEastAsia" w:cstheme="majorEastAsia"/>
          <w:kern w:val="0"/>
          <w:sz w:val="24"/>
          <w:szCs w:val="28"/>
        </w:rPr>
        <w:t>（1）国内注册（指按国家工商管理有关规定要求注册的），具有合法的主体资格证明复印件（如营业执照、事业单位法人证书、个体工商户营业执照）的报价人；</w:t>
      </w:r>
      <w:r>
        <w:rPr>
          <w:rFonts w:hint="eastAsia" w:asciiTheme="majorEastAsia" w:hAnsiTheme="majorEastAsia" w:eastAsiaTheme="majorEastAsia" w:cstheme="majorEastAsia"/>
          <w:sz w:val="24"/>
          <w:szCs w:val="36"/>
        </w:rPr>
        <w:t>（</w:t>
      </w:r>
      <w:r>
        <w:rPr>
          <w:rFonts w:hint="eastAsia" w:asciiTheme="majorEastAsia" w:hAnsiTheme="majorEastAsia" w:eastAsiaTheme="majorEastAsia" w:cstheme="majorEastAsia"/>
          <w:b/>
          <w:sz w:val="24"/>
          <w:szCs w:val="36"/>
        </w:rPr>
        <w:t>必须提供，否则响应文件按无效响应处理</w:t>
      </w:r>
      <w:r>
        <w:rPr>
          <w:rFonts w:hint="eastAsia" w:asciiTheme="majorEastAsia" w:hAnsiTheme="majorEastAsia" w:eastAsiaTheme="majorEastAsia" w:cstheme="majorEastAsia"/>
          <w:sz w:val="24"/>
          <w:szCs w:val="36"/>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sz w:val="24"/>
          <w:szCs w:val="24"/>
        </w:rPr>
        <w:t>（2）报价声明（格式后附）；（</w:t>
      </w:r>
      <w:r>
        <w:rPr>
          <w:rFonts w:hint="eastAsia" w:asciiTheme="majorEastAsia" w:hAnsiTheme="majorEastAsia" w:eastAsiaTheme="majorEastAsia" w:cstheme="majorEastAsia"/>
          <w:b/>
          <w:sz w:val="24"/>
          <w:szCs w:val="24"/>
        </w:rPr>
        <w:t>必须提供，否则响应文件按无效响应处理</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kern w:val="0"/>
          <w:sz w:val="24"/>
          <w:szCs w:val="24"/>
        </w:rPr>
        <w:t>，</w:t>
      </w:r>
    </w:p>
    <w:p w14:paraId="65573B48">
      <w:pPr>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注：</w:t>
      </w:r>
    </w:p>
    <w:p w14:paraId="308189F8">
      <w:pP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1.以上标明“必须提供”的材料属于复印件的，必须加盖报价人公章，否则报价文件按无效响应处理。</w:t>
      </w:r>
    </w:p>
    <w:p w14:paraId="2EA606DC">
      <w:pPr>
        <w:rPr>
          <w:rFonts w:hint="eastAsia" w:asciiTheme="majorEastAsia" w:hAnsiTheme="majorEastAsia" w:eastAsiaTheme="majorEastAsia" w:cstheme="majorEastAsia"/>
          <w:kern w:val="0"/>
        </w:rPr>
      </w:pPr>
      <w:r>
        <w:rPr>
          <w:rFonts w:hint="eastAsia" w:asciiTheme="majorEastAsia" w:hAnsiTheme="majorEastAsia" w:eastAsiaTheme="majorEastAsia" w:cstheme="majorEastAsia"/>
          <w:b/>
          <w:szCs w:val="21"/>
        </w:rPr>
        <w:t>2.报价人的报价声明必须由法定代表人或委托代理人在规定签章处签字并加盖报价人公章，否则响应文件按无效响应处理。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2"/>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2"/>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2"/>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2"/>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2"/>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2"/>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5"/>
        <w:numPr>
          <w:ilvl w:val="0"/>
          <w:numId w:val="2"/>
        </w:numPr>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3.报价为最终报价，须包含货物及货物运抵指定交货地点的运输、装卸费用、售后服务、税金、验收检验及其它所有费用的总和。报价超出采购预算金额的文件将被视为无效。</w:t>
      </w:r>
    </w:p>
    <w:p w14:paraId="0105B1C4">
      <w:pPr>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sz w:val="24"/>
          <w:szCs w:val="24"/>
        </w:rPr>
        <w:t>由资格证明文件、报价商务技术文件两部分组成，详见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kern w:val="0"/>
          <w:sz w:val="24"/>
          <w:szCs w:val="24"/>
        </w:rPr>
        <w:t xml:space="preserve">包括但不限于本报价函（加盖报价商公章），报价人工商营业执照复印件、法定代表人身份证复印件、委托代理人身份证复印件（委托代理时提供）、法定代表人授权委托书（委托代理时提供）。 </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5.报价文件递交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（1）报价文件份数：一式两份，</w:t>
      </w:r>
      <w:r>
        <w:rPr>
          <w:rFonts w:hint="eastAsia" w:asciiTheme="majorEastAsia" w:hAnsiTheme="majorEastAsia" w:eastAsiaTheme="majorEastAsia" w:cstheme="majorEastAsia"/>
          <w:b/>
          <w:bCs/>
          <w:sz w:val="24"/>
          <w:szCs w:val="24"/>
        </w:rPr>
        <w:t>正本一份、副本一份</w:t>
      </w:r>
    </w:p>
    <w:p w14:paraId="7286C781">
      <w:pPr>
        <w:widowControl/>
        <w:adjustRightInd w:val="0"/>
        <w:snapToGrid w:val="0"/>
        <w:spacing w:line="360" w:lineRule="auto"/>
        <w:jc w:val="left"/>
        <w:rPr>
          <w:rFonts w:hint="eastAsia" w:asciiTheme="majorEastAsia" w:hAnsiTheme="majorEastAsia" w:eastAsiaTheme="majorEastAsia" w:cstheme="majorEastAsia"/>
          <w:spacing w:val="-6"/>
          <w:sz w:val="24"/>
          <w:szCs w:val="24"/>
        </w:rPr>
      </w:pPr>
      <w:r>
        <w:rPr>
          <w:rFonts w:hint="eastAsia" w:asciiTheme="majorEastAsia" w:hAnsiTheme="majorEastAsia" w:eastAsiaTheme="majorEastAsia" w:cstheme="majorEastAsia"/>
          <w:sz w:val="24"/>
          <w:szCs w:val="24"/>
        </w:rPr>
        <w:t>（2）报价人应按本文件规定的格式和顺序编制、装订报价文件并标注页码，报价文件内容</w:t>
      </w:r>
      <w:r>
        <w:rPr>
          <w:rFonts w:hint="eastAsia" w:asciiTheme="majorEastAsia" w:hAnsiTheme="majorEastAsia" w:eastAsiaTheme="majorEastAsia" w:cstheme="majorEastAsia"/>
          <w:spacing w:val="-6"/>
          <w:sz w:val="24"/>
          <w:szCs w:val="24"/>
        </w:rPr>
        <w:t>不完整、编排混乱导致被误读、漏读或者查找不到相关内容的，</w:t>
      </w:r>
      <w:r>
        <w:rPr>
          <w:rFonts w:hint="eastAsia" w:asciiTheme="majorEastAsia" w:hAnsiTheme="majorEastAsia" w:eastAsiaTheme="majorEastAsia" w:cstheme="majorEastAsia"/>
          <w:sz w:val="24"/>
          <w:szCs w:val="24"/>
        </w:rPr>
        <w:t>由此引发的</w:t>
      </w:r>
      <w:r>
        <w:rPr>
          <w:rFonts w:hint="eastAsia" w:asciiTheme="majorEastAsia" w:hAnsiTheme="majorEastAsia" w:eastAsiaTheme="majorEastAsia" w:cstheme="majorEastAsia"/>
          <w:spacing w:val="-6"/>
          <w:sz w:val="24"/>
          <w:szCs w:val="24"/>
        </w:rPr>
        <w:t>后果由</w:t>
      </w:r>
      <w:r>
        <w:rPr>
          <w:rFonts w:hint="eastAsia" w:asciiTheme="majorEastAsia" w:hAnsiTheme="majorEastAsia" w:eastAsiaTheme="majorEastAsia" w:cstheme="majorEastAsia"/>
          <w:sz w:val="24"/>
          <w:szCs w:val="24"/>
        </w:rPr>
        <w:t>报价人自行</w:t>
      </w:r>
      <w:r>
        <w:rPr>
          <w:rFonts w:hint="eastAsia" w:asciiTheme="majorEastAsia" w:hAnsiTheme="majorEastAsia" w:eastAsiaTheme="majorEastAsia" w:cstheme="majorEastAsia"/>
          <w:spacing w:val="-6"/>
          <w:sz w:val="24"/>
          <w:szCs w:val="24"/>
        </w:rPr>
        <w:t>承担。</w:t>
      </w:r>
    </w:p>
    <w:p w14:paraId="10E93A12">
      <w:pPr>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pacing w:val="-6"/>
          <w:sz w:val="24"/>
          <w:szCs w:val="24"/>
        </w:rPr>
        <w:t>（3）</w:t>
      </w:r>
      <w:r>
        <w:rPr>
          <w:rFonts w:hint="eastAsia" w:asciiTheme="majorEastAsia" w:hAnsiTheme="majorEastAsia" w:eastAsiaTheme="majorEastAsia" w:cstheme="majorEastAsia"/>
          <w:sz w:val="24"/>
          <w:szCs w:val="24"/>
        </w:rPr>
        <w:t>报价文件的封面应注明“正本”、“副本”字样，提供报价文件正、副本数量不足的将按无效响应处理。由于报价文件装订松散而造成的丢失或其他情况导致的不利后果由报价人自行承担。</w:t>
      </w:r>
    </w:p>
    <w:p w14:paraId="1AC31C6E">
      <w:pPr>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报价文件正、副本全部装入一个包封袋/箱中并加以密封，封口处必须加盖报价人公章或法定代表人签字或委托代理人签字，以示密封。报价文件外层包装封面上应标记“项目名称、项目编号（如有）、供应商名称、报价文件提交截止时间前不得启封”字样。未按规定密封的响应文件将被拒收。</w:t>
      </w:r>
    </w:p>
    <w:p w14:paraId="5C5840FA">
      <w:pPr>
        <w:pStyle w:val="33"/>
        <w:rPr>
          <w:rFonts w:hint="eastAsia" w:asciiTheme="majorEastAsia" w:hAnsiTheme="majorEastAsia" w:eastAsiaTheme="majorEastAsia" w:cstheme="majorEastAsia"/>
          <w:b w:val="0"/>
          <w:bCs/>
          <w:sz w:val="24"/>
          <w:szCs w:val="24"/>
        </w:rPr>
      </w:pPr>
      <w:r>
        <w:rPr>
          <w:rFonts w:hint="eastAsia" w:asciiTheme="majorEastAsia" w:hAnsiTheme="majorEastAsia" w:eastAsiaTheme="majorEastAsia" w:cstheme="majorEastAsia"/>
          <w:b w:val="0"/>
          <w:bCs/>
          <w:spacing w:val="-6"/>
          <w:sz w:val="24"/>
          <w:szCs w:val="24"/>
        </w:rPr>
        <w:t>6.报价</w:t>
      </w:r>
      <w:r>
        <w:rPr>
          <w:rFonts w:hint="eastAsia" w:asciiTheme="majorEastAsia" w:hAnsiTheme="majorEastAsia" w:eastAsiaTheme="majorEastAsia" w:cstheme="majorEastAsia"/>
          <w:b w:val="0"/>
          <w:bCs/>
          <w:sz w:val="24"/>
          <w:szCs w:val="24"/>
        </w:rPr>
        <w:t>文件提交</w:t>
      </w:r>
    </w:p>
    <w:p w14:paraId="40C1A4F7">
      <w:pPr>
        <w:spacing w:line="480" w:lineRule="exact"/>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sz w:val="24"/>
          <w:szCs w:val="24"/>
        </w:rPr>
        <w:t>（1）报价文件提交起止时间：</w:t>
      </w:r>
      <w:r>
        <w:rPr>
          <w:rFonts w:hint="eastAsia" w:asciiTheme="majorEastAsia" w:hAnsiTheme="majorEastAsia" w:eastAsiaTheme="majorEastAsia" w:cstheme="majorEastAsia"/>
          <w:b/>
          <w:bCs/>
          <w:sz w:val="24"/>
          <w:szCs w:val="24"/>
          <w:highlight w:val="none"/>
          <w:u w:val="single"/>
        </w:rPr>
        <w:t>2026年</w:t>
      </w:r>
      <w:r>
        <w:rPr>
          <w:rFonts w:hint="eastAsia" w:asciiTheme="majorEastAsia" w:hAnsiTheme="majorEastAsia" w:eastAsiaTheme="majorEastAsia" w:cstheme="majorEastAsia"/>
          <w:b/>
          <w:bCs/>
          <w:sz w:val="24"/>
          <w:szCs w:val="24"/>
          <w:highlight w:val="none"/>
          <w:u w:val="single"/>
          <w:lang w:val="en-US" w:eastAsia="zh-CN"/>
        </w:rPr>
        <w:t>9</w:t>
      </w:r>
      <w:r>
        <w:rPr>
          <w:rFonts w:hint="eastAsia" w:asciiTheme="majorEastAsia" w:hAnsiTheme="majorEastAsia" w:eastAsiaTheme="majorEastAsia" w:cstheme="majorEastAsia"/>
          <w:b/>
          <w:bCs/>
          <w:sz w:val="24"/>
          <w:szCs w:val="24"/>
          <w:highlight w:val="none"/>
          <w:u w:val="single"/>
        </w:rPr>
        <w:t>月</w:t>
      </w:r>
      <w:r>
        <w:rPr>
          <w:rFonts w:hint="eastAsia" w:asciiTheme="majorEastAsia" w:hAnsiTheme="majorEastAsia" w:eastAsiaTheme="majorEastAsia" w:cstheme="majorEastAsia"/>
          <w:b/>
          <w:bCs/>
          <w:sz w:val="24"/>
          <w:szCs w:val="24"/>
          <w:highlight w:val="none"/>
          <w:u w:val="single"/>
          <w:lang w:val="en-US" w:eastAsia="zh-CN"/>
        </w:rPr>
        <w:t>9</w:t>
      </w:r>
      <w:r>
        <w:rPr>
          <w:rFonts w:hint="eastAsia" w:asciiTheme="majorEastAsia" w:hAnsiTheme="majorEastAsia" w:eastAsiaTheme="majorEastAsia" w:cstheme="majorEastAsia"/>
          <w:b/>
          <w:bCs/>
          <w:sz w:val="24"/>
          <w:szCs w:val="24"/>
          <w:highlight w:val="none"/>
          <w:u w:val="single"/>
        </w:rPr>
        <w:t>日</w:t>
      </w:r>
      <w:r>
        <w:rPr>
          <w:rFonts w:hint="eastAsia" w:asciiTheme="majorEastAsia" w:hAnsiTheme="majorEastAsia" w:eastAsiaTheme="majorEastAsia" w:cstheme="majorEastAsia"/>
          <w:b/>
          <w:bCs/>
          <w:sz w:val="24"/>
          <w:szCs w:val="24"/>
          <w:highlight w:val="none"/>
          <w:u w:val="single"/>
          <w:lang w:val="en-US" w:eastAsia="zh-CN"/>
        </w:rPr>
        <w:t>15</w:t>
      </w:r>
      <w:r>
        <w:rPr>
          <w:rFonts w:hint="eastAsia" w:asciiTheme="majorEastAsia" w:hAnsiTheme="majorEastAsia" w:eastAsiaTheme="majorEastAsia" w:cstheme="majorEastAsia"/>
          <w:b/>
          <w:bCs/>
          <w:sz w:val="24"/>
          <w:szCs w:val="24"/>
          <w:highlight w:val="none"/>
          <w:u w:val="single"/>
        </w:rPr>
        <w:t>时00分至</w:t>
      </w:r>
      <w:r>
        <w:rPr>
          <w:rFonts w:hint="eastAsia" w:asciiTheme="majorEastAsia" w:hAnsiTheme="majorEastAsia" w:eastAsiaTheme="majorEastAsia" w:cstheme="majorEastAsia"/>
          <w:b/>
          <w:bCs/>
          <w:sz w:val="24"/>
          <w:szCs w:val="24"/>
          <w:highlight w:val="none"/>
          <w:u w:val="single"/>
          <w:lang w:val="en-US" w:eastAsia="zh-CN"/>
        </w:rPr>
        <w:t>15</w:t>
      </w:r>
      <w:r>
        <w:rPr>
          <w:rFonts w:hint="eastAsia" w:asciiTheme="majorEastAsia" w:hAnsiTheme="majorEastAsia" w:eastAsiaTheme="majorEastAsia" w:cstheme="majorEastAsia"/>
          <w:b/>
          <w:bCs/>
          <w:sz w:val="24"/>
          <w:szCs w:val="24"/>
          <w:highlight w:val="none"/>
          <w:u w:val="single"/>
        </w:rPr>
        <w:t>时30分</w:t>
      </w:r>
      <w:r>
        <w:rPr>
          <w:rFonts w:hint="eastAsia" w:asciiTheme="majorEastAsia" w:hAnsiTheme="majorEastAsia" w:eastAsiaTheme="majorEastAsia" w:cstheme="majorEastAsia"/>
          <w:b/>
          <w:bCs/>
          <w:sz w:val="24"/>
          <w:szCs w:val="24"/>
          <w:highlight w:val="none"/>
        </w:rPr>
        <w:t>（北京时间）</w:t>
      </w:r>
    </w:p>
    <w:p w14:paraId="60993A02">
      <w:pPr>
        <w:spacing w:line="48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（2）文件提交地点：</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b/>
          <w:szCs w:val="21"/>
          <w:u w:val="single"/>
        </w:rPr>
        <w:t>注：报价人应当在报价文件提交截止时间前，将报价文件密封送达提交地点。在报价文件提交截止时间后送达的报价文件为无效文件，采购将拒收。</w:t>
      </w:r>
    </w:p>
    <w:p w14:paraId="5BA32957">
      <w:pPr>
        <w:widowControl/>
        <w:numPr>
          <w:ilvl w:val="0"/>
          <w:numId w:val="3"/>
        </w:numPr>
        <w:adjustRightInd w:val="0"/>
        <w:snapToGrid w:val="0"/>
        <w:spacing w:line="520" w:lineRule="exact"/>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凡对本次采购提出询问，请按以下方式联系</w:t>
      </w:r>
    </w:p>
    <w:p w14:paraId="4AF71F4A">
      <w:pPr>
        <w:widowControl/>
        <w:numPr>
          <w:ilvl w:val="0"/>
          <w:numId w:val="4"/>
        </w:numPr>
        <w:adjustRightInd w:val="0"/>
        <w:snapToGrid w:val="0"/>
        <w:spacing w:line="520" w:lineRule="exact"/>
        <w:jc w:val="left"/>
        <w:rPr>
          <w:rFonts w:hint="eastAsia" w:asciiTheme="majorEastAsia" w:hAnsiTheme="majorEastAsia" w:eastAsiaTheme="majorEastAsia" w:cstheme="majorEastAsia"/>
          <w:bCs/>
          <w:kern w:val="0"/>
          <w:sz w:val="24"/>
          <w:szCs w:val="28"/>
          <w:lang w:bidi="en-US"/>
        </w:rPr>
      </w:pPr>
      <w:r>
        <w:rPr>
          <w:rFonts w:hint="eastAsia" w:asciiTheme="majorEastAsia" w:hAnsiTheme="majorEastAsia" w:eastAsiaTheme="majorEastAsia" w:cstheme="majorEastAsia"/>
          <w:bCs/>
          <w:kern w:val="0"/>
          <w:sz w:val="24"/>
          <w:szCs w:val="28"/>
          <w:lang w:bidi="en-US"/>
        </w:rPr>
        <w:t xml:space="preserve">技术及需求咨询联系人：梁老师     联系电话：14793881501  </w:t>
      </w:r>
    </w:p>
    <w:p w14:paraId="4966A16F">
      <w:pPr>
        <w:widowControl/>
        <w:numPr>
          <w:numId w:val="0"/>
        </w:numPr>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 xml:space="preserve">（2）报价文件接收联系人：资产管理处办公室工作人员      联系电话：0772-3156307   </w:t>
      </w:r>
    </w:p>
    <w:p w14:paraId="0390BF1D">
      <w:pPr>
        <w:pStyle w:val="5"/>
        <w:spacing w:line="360" w:lineRule="auto"/>
        <w:rPr>
          <w:rFonts w:ascii="Arial" w:hAnsi="Arial" w:eastAsia="宋体" w:cs="Arial"/>
          <w:kern w:val="0"/>
          <w:sz w:val="24"/>
          <w:szCs w:val="28"/>
        </w:rPr>
      </w:pPr>
    </w:p>
    <w:p w14:paraId="20AED0AB">
      <w:pPr>
        <w:pStyle w:val="5"/>
        <w:spacing w:line="360" w:lineRule="auto"/>
      </w:pPr>
    </w:p>
    <w:p w14:paraId="2115B774">
      <w:pPr>
        <w:pStyle w:val="5"/>
        <w:rPr>
          <w:b/>
          <w:sz w:val="44"/>
          <w:szCs w:val="36"/>
        </w:rPr>
      </w:pPr>
    </w:p>
    <w:p w14:paraId="55DEBDFF">
      <w:pPr>
        <w:pStyle w:val="5"/>
        <w:rPr>
          <w:b/>
          <w:sz w:val="44"/>
          <w:szCs w:val="36"/>
        </w:rPr>
      </w:pPr>
    </w:p>
    <w:p w14:paraId="0217A62F">
      <w:pPr>
        <w:pStyle w:val="5"/>
        <w:rPr>
          <w:b/>
          <w:sz w:val="44"/>
          <w:szCs w:val="36"/>
        </w:rPr>
      </w:pPr>
    </w:p>
    <w:p w14:paraId="48903F0A">
      <w:pPr>
        <w:pStyle w:val="5"/>
        <w:rPr>
          <w:b/>
          <w:sz w:val="44"/>
          <w:szCs w:val="36"/>
        </w:rPr>
      </w:pPr>
    </w:p>
    <w:p w14:paraId="20527652">
      <w:pPr>
        <w:pStyle w:val="5"/>
        <w:rPr>
          <w:b/>
          <w:sz w:val="44"/>
          <w:szCs w:val="36"/>
        </w:rPr>
      </w:pPr>
    </w:p>
    <w:p w14:paraId="6F43938B">
      <w:pPr>
        <w:pStyle w:val="5"/>
        <w:rPr>
          <w:b/>
          <w:sz w:val="44"/>
          <w:szCs w:val="36"/>
        </w:rPr>
      </w:pPr>
    </w:p>
    <w:p w14:paraId="70FE2A57">
      <w:pPr>
        <w:pStyle w:val="5"/>
        <w:rPr>
          <w:b/>
          <w:sz w:val="44"/>
          <w:szCs w:val="36"/>
        </w:rPr>
      </w:pPr>
    </w:p>
    <w:p w14:paraId="0C0EEFEC">
      <w:pPr>
        <w:pStyle w:val="5"/>
        <w:rPr>
          <w:b/>
          <w:sz w:val="44"/>
          <w:szCs w:val="36"/>
        </w:rPr>
      </w:pPr>
    </w:p>
    <w:p w14:paraId="0EEF84FE">
      <w:pPr>
        <w:pStyle w:val="5"/>
        <w:rPr>
          <w:b/>
          <w:sz w:val="44"/>
          <w:szCs w:val="36"/>
        </w:rPr>
      </w:pPr>
    </w:p>
    <w:p w14:paraId="15A948BC">
      <w:pPr>
        <w:pStyle w:val="5"/>
        <w:rPr>
          <w:b/>
          <w:sz w:val="44"/>
          <w:szCs w:val="36"/>
        </w:rPr>
      </w:pPr>
    </w:p>
    <w:p w14:paraId="7B0233EC">
      <w:pPr>
        <w:pStyle w:val="5"/>
        <w:rPr>
          <w:b/>
          <w:sz w:val="44"/>
          <w:szCs w:val="36"/>
        </w:rPr>
      </w:pPr>
    </w:p>
    <w:p w14:paraId="73CFC21F">
      <w:pPr>
        <w:pStyle w:val="5"/>
        <w:rPr>
          <w:b/>
          <w:sz w:val="44"/>
          <w:szCs w:val="36"/>
        </w:rPr>
      </w:pPr>
    </w:p>
    <w:p w14:paraId="6B05A311">
      <w:pPr>
        <w:pStyle w:val="5"/>
        <w:rPr>
          <w:b/>
          <w:sz w:val="44"/>
          <w:szCs w:val="36"/>
        </w:rPr>
      </w:pPr>
    </w:p>
    <w:p w14:paraId="776272BE">
      <w:pPr>
        <w:pStyle w:val="5"/>
        <w:jc w:val="center"/>
        <w:rPr>
          <w:b/>
          <w:sz w:val="48"/>
          <w:szCs w:val="40"/>
        </w:rPr>
      </w:pPr>
      <w:r>
        <w:rPr>
          <w:rFonts w:hint="eastAsia"/>
          <w:b/>
          <w:sz w:val="48"/>
          <w:szCs w:val="40"/>
        </w:rPr>
        <w:t>报价文件格式</w:t>
      </w:r>
    </w:p>
    <w:p w14:paraId="666830FA">
      <w:pPr>
        <w:pStyle w:val="5"/>
        <w:jc w:val="center"/>
        <w:rPr>
          <w:b/>
          <w:sz w:val="44"/>
          <w:szCs w:val="36"/>
        </w:rPr>
      </w:pPr>
    </w:p>
    <w:p w14:paraId="7A1914C7">
      <w:pPr>
        <w:jc w:val="left"/>
        <w:outlineLvl w:val="1"/>
        <w:rPr>
          <w:rFonts w:ascii="宋体" w:hAnsi="Times New Roman" w:eastAsia="仿宋" w:cs="Times New Roman"/>
          <w:b/>
          <w:sz w:val="36"/>
          <w:szCs w:val="36"/>
        </w:rPr>
      </w:pPr>
      <w:bookmarkStart w:id="0" w:name="_Toc254970697"/>
      <w:bookmarkStart w:id="1" w:name="_Toc107424598"/>
      <w:bookmarkStart w:id="2" w:name="_Toc254970556"/>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55BF794">
      <w:pPr>
        <w:pStyle w:val="5"/>
        <w:rPr>
          <w:sz w:val="32"/>
          <w:szCs w:val="32"/>
        </w:rPr>
      </w:pPr>
    </w:p>
    <w:p w14:paraId="512C022A">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hint="eastAsia"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56" w:beforeLines="50" w:after="50"/>
        <w:ind w:firstLine="480" w:firstLineChars="150"/>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hint="eastAsia" w:ascii="宋体" w:hAnsi="宋体" w:eastAsia="仿宋" w:cs="Times New Roman"/>
          <w:bCs/>
          <w:sz w:val="32"/>
          <w:szCs w:val="32"/>
        </w:rPr>
      </w:pPr>
    </w:p>
    <w:p w14:paraId="74389DE7">
      <w:pPr>
        <w:snapToGrid w:val="0"/>
        <w:spacing w:line="276" w:lineRule="auto"/>
        <w:ind w:firstLine="540" w:firstLineChars="150"/>
        <w:jc w:val="center"/>
        <w:rPr>
          <w:rFonts w:hint="eastAsia" w:ascii="宋体" w:hAnsi="宋体" w:eastAsia="仿宋" w:cs="Times New Roman"/>
          <w:bCs/>
          <w:sz w:val="36"/>
          <w:szCs w:val="36"/>
        </w:rPr>
      </w:pPr>
    </w:p>
    <w:p w14:paraId="7779E040">
      <w:pPr>
        <w:pStyle w:val="5"/>
        <w:jc w:val="center"/>
        <w:rPr>
          <w:b/>
          <w:sz w:val="44"/>
          <w:szCs w:val="36"/>
        </w:rPr>
      </w:pPr>
    </w:p>
    <w:p w14:paraId="5050054A">
      <w:pPr>
        <w:pStyle w:val="5"/>
        <w:jc w:val="center"/>
        <w:rPr>
          <w:b/>
          <w:sz w:val="44"/>
          <w:szCs w:val="36"/>
        </w:rPr>
      </w:pPr>
    </w:p>
    <w:p w14:paraId="65B627EF">
      <w:pPr>
        <w:pStyle w:val="5"/>
        <w:jc w:val="center"/>
        <w:rPr>
          <w:b/>
          <w:sz w:val="44"/>
          <w:szCs w:val="36"/>
        </w:rPr>
      </w:pPr>
    </w:p>
    <w:p w14:paraId="7A11EE56">
      <w:pPr>
        <w:pStyle w:val="5"/>
        <w:numPr>
          <w:ilvl w:val="0"/>
          <w:numId w:val="5"/>
        </w:numPr>
        <w:jc w:val="left"/>
        <w:rPr>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5"/>
        <w:jc w:val="left"/>
        <w:rPr>
          <w:b/>
          <w:sz w:val="36"/>
          <w:szCs w:val="36"/>
        </w:rPr>
      </w:pPr>
    </w:p>
    <w:p w14:paraId="470AC734">
      <w:pPr>
        <w:pStyle w:val="5"/>
        <w:jc w:val="left"/>
        <w:rPr>
          <w:b/>
          <w:sz w:val="36"/>
          <w:szCs w:val="36"/>
        </w:rPr>
      </w:pPr>
    </w:p>
    <w:p w14:paraId="23E8BFE9">
      <w:pPr>
        <w:pStyle w:val="5"/>
        <w:jc w:val="left"/>
        <w:rPr>
          <w:b/>
          <w:sz w:val="36"/>
          <w:szCs w:val="36"/>
        </w:rPr>
      </w:pPr>
    </w:p>
    <w:p w14:paraId="1A62783F">
      <w:pPr>
        <w:pStyle w:val="5"/>
        <w:jc w:val="left"/>
        <w:rPr>
          <w:b/>
          <w:sz w:val="36"/>
          <w:szCs w:val="36"/>
        </w:rPr>
      </w:pPr>
    </w:p>
    <w:p w14:paraId="2E0E77A0">
      <w:pPr>
        <w:pStyle w:val="5"/>
        <w:jc w:val="left"/>
        <w:rPr>
          <w:b/>
          <w:sz w:val="36"/>
          <w:szCs w:val="36"/>
        </w:rPr>
      </w:pPr>
    </w:p>
    <w:p w14:paraId="37870246">
      <w:pPr>
        <w:pStyle w:val="5"/>
        <w:jc w:val="left"/>
        <w:rPr>
          <w:b/>
          <w:sz w:val="36"/>
          <w:szCs w:val="36"/>
        </w:rPr>
      </w:pPr>
    </w:p>
    <w:p w14:paraId="573B5DE7">
      <w:pPr>
        <w:pStyle w:val="34"/>
        <w:rPr>
          <w:rFonts w:hint="eastAsia" w:ascii="仿宋" w:hAnsi="仿宋" w:eastAsia="仿宋" w:cs="仿宋"/>
          <w:color w:val="auto"/>
          <w:sz w:val="32"/>
          <w:szCs w:val="32"/>
        </w:rPr>
      </w:pPr>
      <w:r>
        <w:rPr>
          <w:rFonts w:hint="eastAsia" w:ascii="仿宋" w:hAnsi="仿宋" w:eastAsia="仿宋" w:cs="仿宋"/>
          <w:color w:val="auto"/>
          <w:sz w:val="32"/>
          <w:szCs w:val="32"/>
        </w:rPr>
        <w:t>2.资格证明文件目录</w:t>
      </w:r>
    </w:p>
    <w:p w14:paraId="1B8E4362">
      <w:pPr>
        <w:snapToGrid w:val="0"/>
        <w:spacing w:line="360" w:lineRule="auto"/>
        <w:ind w:firstLine="640"/>
        <w:rPr>
          <w:rFonts w:hint="eastAsia" w:ascii="宋体" w:hAnsi="宋体"/>
          <w:sz w:val="32"/>
          <w:szCs w:val="32"/>
        </w:rPr>
      </w:pPr>
      <w:r>
        <w:rPr>
          <w:rFonts w:hint="eastAsia" w:ascii="宋体" w:hAnsi="宋体"/>
          <w:sz w:val="32"/>
          <w:szCs w:val="32"/>
        </w:rPr>
        <w:t>根据报价文件规定及报价人提供的材料自行编写目录（部分格式后附）。</w:t>
      </w:r>
    </w:p>
    <w:p w14:paraId="423F33BF">
      <w:pPr>
        <w:pStyle w:val="5"/>
        <w:rPr>
          <w:sz w:val="24"/>
          <w:szCs w:val="24"/>
        </w:rPr>
      </w:pPr>
    </w:p>
    <w:p w14:paraId="104E28E9">
      <w:pPr>
        <w:pStyle w:val="5"/>
        <w:rPr>
          <w:sz w:val="24"/>
          <w:szCs w:val="24"/>
        </w:rPr>
      </w:pPr>
    </w:p>
    <w:p w14:paraId="6DFC3D17">
      <w:pPr>
        <w:pStyle w:val="5"/>
        <w:rPr>
          <w:sz w:val="24"/>
          <w:szCs w:val="24"/>
        </w:rPr>
      </w:pPr>
    </w:p>
    <w:p w14:paraId="6C6BA235">
      <w:pPr>
        <w:pStyle w:val="5"/>
        <w:rPr>
          <w:sz w:val="24"/>
          <w:szCs w:val="24"/>
        </w:rPr>
      </w:pPr>
    </w:p>
    <w:p w14:paraId="5CD97640">
      <w:pPr>
        <w:pStyle w:val="5"/>
        <w:rPr>
          <w:sz w:val="24"/>
          <w:szCs w:val="24"/>
        </w:rPr>
      </w:pPr>
    </w:p>
    <w:p w14:paraId="06143FD8">
      <w:pPr>
        <w:pStyle w:val="5"/>
        <w:rPr>
          <w:sz w:val="24"/>
          <w:szCs w:val="24"/>
        </w:rPr>
      </w:pPr>
    </w:p>
    <w:p w14:paraId="4D0B5893">
      <w:pPr>
        <w:pStyle w:val="5"/>
        <w:rPr>
          <w:sz w:val="24"/>
          <w:szCs w:val="24"/>
        </w:rPr>
      </w:pPr>
    </w:p>
    <w:p w14:paraId="1771D750">
      <w:pPr>
        <w:pStyle w:val="5"/>
        <w:rPr>
          <w:sz w:val="24"/>
          <w:szCs w:val="24"/>
        </w:rPr>
      </w:pPr>
    </w:p>
    <w:p w14:paraId="194A9E8B">
      <w:pPr>
        <w:pStyle w:val="5"/>
        <w:rPr>
          <w:sz w:val="24"/>
          <w:szCs w:val="24"/>
        </w:rPr>
      </w:pPr>
    </w:p>
    <w:p w14:paraId="7C13A348">
      <w:pPr>
        <w:pStyle w:val="5"/>
        <w:rPr>
          <w:sz w:val="24"/>
          <w:szCs w:val="24"/>
        </w:rPr>
      </w:pPr>
    </w:p>
    <w:p w14:paraId="234CF384">
      <w:pPr>
        <w:pStyle w:val="5"/>
        <w:rPr>
          <w:sz w:val="24"/>
          <w:szCs w:val="24"/>
        </w:rPr>
      </w:pPr>
    </w:p>
    <w:p w14:paraId="5925F701">
      <w:pPr>
        <w:pStyle w:val="5"/>
        <w:rPr>
          <w:sz w:val="24"/>
          <w:szCs w:val="24"/>
        </w:rPr>
      </w:pPr>
    </w:p>
    <w:p w14:paraId="552CFC52">
      <w:pPr>
        <w:pStyle w:val="5"/>
        <w:rPr>
          <w:sz w:val="24"/>
          <w:szCs w:val="24"/>
        </w:rPr>
      </w:pPr>
    </w:p>
    <w:p w14:paraId="6BEF4C5C">
      <w:pPr>
        <w:pStyle w:val="5"/>
        <w:rPr>
          <w:sz w:val="24"/>
          <w:szCs w:val="24"/>
        </w:rPr>
      </w:pPr>
    </w:p>
    <w:p w14:paraId="67DA8AC9">
      <w:pPr>
        <w:pStyle w:val="5"/>
        <w:rPr>
          <w:sz w:val="24"/>
          <w:szCs w:val="24"/>
        </w:rPr>
      </w:pPr>
    </w:p>
    <w:p w14:paraId="5A4810C3">
      <w:pPr>
        <w:pStyle w:val="5"/>
        <w:rPr>
          <w:sz w:val="24"/>
          <w:szCs w:val="24"/>
        </w:rPr>
      </w:pPr>
    </w:p>
    <w:p w14:paraId="12D0D3DC">
      <w:pPr>
        <w:pStyle w:val="5"/>
        <w:rPr>
          <w:sz w:val="24"/>
          <w:szCs w:val="24"/>
        </w:rPr>
      </w:pPr>
    </w:p>
    <w:p w14:paraId="7AC96D58">
      <w:pPr>
        <w:pStyle w:val="5"/>
        <w:rPr>
          <w:sz w:val="24"/>
          <w:szCs w:val="24"/>
        </w:rPr>
      </w:pPr>
    </w:p>
    <w:p w14:paraId="438803F8">
      <w:pPr>
        <w:pStyle w:val="5"/>
        <w:rPr>
          <w:sz w:val="24"/>
          <w:szCs w:val="24"/>
        </w:rPr>
      </w:pPr>
    </w:p>
    <w:p w14:paraId="38EFBF24">
      <w:pPr>
        <w:pStyle w:val="5"/>
        <w:rPr>
          <w:sz w:val="24"/>
          <w:szCs w:val="24"/>
        </w:rPr>
      </w:pPr>
    </w:p>
    <w:p w14:paraId="5E18787D">
      <w:pPr>
        <w:pStyle w:val="5"/>
        <w:rPr>
          <w:sz w:val="24"/>
          <w:szCs w:val="24"/>
        </w:rPr>
      </w:pPr>
    </w:p>
    <w:p w14:paraId="50F62FAD">
      <w:pPr>
        <w:pStyle w:val="5"/>
        <w:rPr>
          <w:sz w:val="24"/>
          <w:szCs w:val="24"/>
        </w:rPr>
      </w:pPr>
    </w:p>
    <w:p w14:paraId="7C0A8F47">
      <w:pPr>
        <w:pStyle w:val="5"/>
        <w:rPr>
          <w:sz w:val="24"/>
          <w:szCs w:val="24"/>
        </w:rPr>
      </w:pPr>
    </w:p>
    <w:p w14:paraId="5DBAFC46">
      <w:pPr>
        <w:pStyle w:val="5"/>
        <w:rPr>
          <w:sz w:val="24"/>
          <w:szCs w:val="24"/>
        </w:rPr>
      </w:pPr>
    </w:p>
    <w:p w14:paraId="4AD066AC">
      <w:pPr>
        <w:pStyle w:val="5"/>
        <w:rPr>
          <w:sz w:val="24"/>
          <w:szCs w:val="24"/>
        </w:rPr>
      </w:pPr>
    </w:p>
    <w:p w14:paraId="30C0275E">
      <w:pPr>
        <w:pStyle w:val="5"/>
        <w:rPr>
          <w:sz w:val="24"/>
          <w:szCs w:val="24"/>
        </w:rPr>
      </w:pPr>
    </w:p>
    <w:p w14:paraId="1C14FF84">
      <w:pPr>
        <w:pStyle w:val="5"/>
        <w:rPr>
          <w:sz w:val="24"/>
          <w:szCs w:val="24"/>
        </w:rPr>
      </w:pPr>
    </w:p>
    <w:p w14:paraId="1F6862F8">
      <w:pPr>
        <w:pStyle w:val="5"/>
        <w:rPr>
          <w:sz w:val="24"/>
          <w:szCs w:val="24"/>
        </w:rPr>
      </w:pPr>
    </w:p>
    <w:p w14:paraId="3A8300A8">
      <w:pPr>
        <w:pStyle w:val="5"/>
        <w:rPr>
          <w:sz w:val="24"/>
          <w:szCs w:val="24"/>
        </w:rPr>
      </w:pPr>
    </w:p>
    <w:p w14:paraId="1E57EC9F">
      <w:pPr>
        <w:pStyle w:val="5"/>
        <w:rPr>
          <w:sz w:val="24"/>
          <w:szCs w:val="24"/>
        </w:rPr>
      </w:pPr>
    </w:p>
    <w:p w14:paraId="523C7935">
      <w:pPr>
        <w:pStyle w:val="5"/>
        <w:rPr>
          <w:sz w:val="24"/>
          <w:szCs w:val="24"/>
        </w:rPr>
      </w:pPr>
    </w:p>
    <w:p w14:paraId="20805CD2">
      <w:pPr>
        <w:pStyle w:val="5"/>
        <w:rPr>
          <w:sz w:val="24"/>
          <w:szCs w:val="24"/>
        </w:rPr>
      </w:pPr>
    </w:p>
    <w:p w14:paraId="77464BFD">
      <w:pPr>
        <w:pStyle w:val="5"/>
        <w:rPr>
          <w:sz w:val="24"/>
          <w:szCs w:val="24"/>
        </w:rPr>
      </w:pPr>
    </w:p>
    <w:p w14:paraId="7C0DA5B1">
      <w:pPr>
        <w:jc w:val="left"/>
        <w:outlineLvl w:val="1"/>
        <w:rPr>
          <w:rFonts w:hint="eastAsia" w:ascii="仿宋" w:hAnsi="仿宋" w:eastAsia="仿宋" w:cs="Times New Roman"/>
          <w:b/>
          <w:sz w:val="36"/>
          <w:szCs w:val="21"/>
        </w:rPr>
      </w:pPr>
      <w:r>
        <w:rPr>
          <w:rFonts w:hint="eastAsia" w:ascii="仿宋" w:hAnsi="仿宋" w:eastAsia="仿宋" w:cs="Times New Roman"/>
          <w:b/>
          <w:sz w:val="32"/>
          <w:szCs w:val="32"/>
        </w:rPr>
        <w:t>3.</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hint="eastAsia"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hint="eastAsia"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hint="eastAsia"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hint="eastAsia"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hint="eastAsia"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hint="eastAsia" w:ascii="仿宋" w:hAnsi="仿宋" w:eastAsia="仿宋" w:cs="Times New Roman"/>
          <w:b/>
          <w:sz w:val="36"/>
          <w:szCs w:val="21"/>
        </w:rPr>
      </w:pPr>
    </w:p>
    <w:p w14:paraId="3217FA86">
      <w:pPr>
        <w:spacing w:line="360" w:lineRule="auto"/>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sz w:val="24"/>
          <w:szCs w:val="24"/>
        </w:rPr>
        <w:t>注：报价人的报价声明必须由法定代表人或委托代理人在规定签章处签字并加盖报价人公章，否则响应文件按无效响应处理。</w:t>
      </w:r>
    </w:p>
    <w:p w14:paraId="61F8F00E">
      <w:pPr>
        <w:jc w:val="left"/>
        <w:outlineLvl w:val="1"/>
        <w:rPr>
          <w:rFonts w:hint="eastAsia" w:ascii="仿宋" w:hAnsi="仿宋" w:eastAsia="仿宋" w:cs="Times New Roman"/>
          <w:b/>
          <w:sz w:val="36"/>
          <w:szCs w:val="21"/>
        </w:rPr>
      </w:pPr>
    </w:p>
    <w:p w14:paraId="2C55C081">
      <w:pPr>
        <w:jc w:val="left"/>
        <w:outlineLvl w:val="1"/>
        <w:rPr>
          <w:rFonts w:hint="eastAsia" w:ascii="仿宋" w:hAnsi="仿宋" w:eastAsia="仿宋" w:cs="Times New Roman"/>
          <w:b/>
          <w:sz w:val="36"/>
          <w:szCs w:val="21"/>
        </w:rPr>
      </w:pPr>
    </w:p>
    <w:p w14:paraId="3A0A8131">
      <w:pPr>
        <w:jc w:val="left"/>
        <w:outlineLvl w:val="1"/>
        <w:rPr>
          <w:rFonts w:hint="eastAsia" w:ascii="仿宋" w:hAnsi="仿宋" w:eastAsia="仿宋" w:cs="Times New Roman"/>
          <w:b/>
          <w:sz w:val="36"/>
          <w:szCs w:val="21"/>
        </w:rPr>
      </w:pPr>
    </w:p>
    <w:p w14:paraId="7216DD04">
      <w:pPr>
        <w:jc w:val="left"/>
        <w:outlineLvl w:val="1"/>
        <w:rPr>
          <w:rFonts w:hint="eastAsia" w:ascii="仿宋" w:hAnsi="仿宋" w:eastAsia="仿宋" w:cs="Times New Roman"/>
          <w:b/>
          <w:sz w:val="36"/>
          <w:szCs w:val="21"/>
        </w:rPr>
      </w:pPr>
    </w:p>
    <w:p w14:paraId="1654F867">
      <w:pPr>
        <w:jc w:val="left"/>
        <w:outlineLvl w:val="1"/>
        <w:rPr>
          <w:rFonts w:hint="eastAsia" w:ascii="仿宋" w:hAnsi="仿宋" w:eastAsia="仿宋" w:cs="Times New Roman"/>
          <w:b/>
          <w:sz w:val="32"/>
          <w:szCs w:val="32"/>
        </w:rPr>
      </w:pPr>
      <w:r>
        <w:rPr>
          <w:rFonts w:hint="eastAsia" w:ascii="仿宋" w:hAnsi="仿宋" w:eastAsia="仿宋" w:cs="Times New Roman"/>
          <w:b/>
          <w:sz w:val="32"/>
          <w:szCs w:val="32"/>
        </w:rPr>
        <w:t>4.无围标串标行为的承诺格式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hint="eastAsia" w:ascii="仿宋" w:hAnsi="仿宋"/>
          <w:b/>
          <w:sz w:val="28"/>
          <w:szCs w:val="30"/>
        </w:rPr>
      </w:pPr>
      <w:r>
        <w:rPr>
          <w:rFonts w:hint="eastAsia" w:ascii="仿宋" w:hAnsi="仿宋"/>
          <w:b/>
          <w:sz w:val="28"/>
          <w:szCs w:val="30"/>
        </w:rPr>
        <w:t>一、我方承诺无下列相互串通投标的情形：</w:t>
      </w:r>
    </w:p>
    <w:p w14:paraId="64F7A33C">
      <w:pPr>
        <w:spacing w:line="360" w:lineRule="auto"/>
        <w:ind w:firstLine="548" w:firstLineChars="196"/>
        <w:contextualSpacing/>
        <w:rPr>
          <w:rFonts w:hint="eastAsia" w:ascii="仿宋" w:hAnsi="仿宋"/>
          <w:sz w:val="28"/>
          <w:szCs w:val="30"/>
        </w:rPr>
      </w:pPr>
      <w:r>
        <w:rPr>
          <w:rFonts w:hint="eastAsia" w:ascii="仿宋" w:hAnsi="仿宋"/>
          <w:sz w:val="28"/>
          <w:szCs w:val="30"/>
        </w:rPr>
        <w:t xml:space="preserve">1.不同报价人的投标文件由同一单位或者个人编制； </w:t>
      </w:r>
    </w:p>
    <w:p w14:paraId="2806931F">
      <w:pPr>
        <w:spacing w:line="360" w:lineRule="auto"/>
        <w:ind w:firstLine="548" w:firstLineChars="196"/>
        <w:contextualSpacing/>
        <w:rPr>
          <w:rFonts w:hint="eastAsia" w:ascii="仿宋" w:hAnsi="仿宋"/>
          <w:sz w:val="28"/>
          <w:szCs w:val="30"/>
        </w:rPr>
      </w:pPr>
      <w:r>
        <w:rPr>
          <w:rFonts w:hint="eastAsia" w:ascii="仿宋" w:hAnsi="仿宋"/>
          <w:sz w:val="28"/>
          <w:szCs w:val="30"/>
        </w:rPr>
        <w:t>2.不同报价人委托同一单位或者个人办理投标事宜；</w:t>
      </w:r>
    </w:p>
    <w:p w14:paraId="2C92B4F4">
      <w:pPr>
        <w:spacing w:line="360" w:lineRule="auto"/>
        <w:ind w:firstLine="548" w:firstLineChars="196"/>
        <w:contextualSpacing/>
        <w:rPr>
          <w:rFonts w:hint="eastAsia"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hint="eastAsia" w:ascii="仿宋" w:hAnsi="仿宋"/>
          <w:sz w:val="28"/>
          <w:szCs w:val="30"/>
        </w:rPr>
      </w:pPr>
      <w:r>
        <w:rPr>
          <w:rFonts w:hint="eastAsia" w:ascii="仿宋" w:hAnsi="仿宋"/>
          <w:sz w:val="28"/>
          <w:szCs w:val="30"/>
        </w:rPr>
        <w:t>4.不同报价人的报价文件异常一致或者投标报价呈规律性差异；</w:t>
      </w:r>
    </w:p>
    <w:p w14:paraId="32536EC8">
      <w:pPr>
        <w:spacing w:line="360" w:lineRule="auto"/>
        <w:ind w:firstLine="548" w:firstLineChars="196"/>
        <w:contextualSpacing/>
        <w:rPr>
          <w:rFonts w:hint="eastAsia"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hint="eastAsia"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hint="eastAsia"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hint="eastAsia"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hint="eastAsia"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hint="eastAsia"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hint="eastAsia"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hint="eastAsia"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hint="eastAsia"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hint="eastAsia"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6"/>
        <w:tabs>
          <w:tab w:val="left" w:pos="5529"/>
        </w:tabs>
        <w:wordWrap w:val="0"/>
        <w:spacing w:line="480" w:lineRule="auto"/>
        <w:jc w:val="right"/>
        <w:rPr>
          <w:rFonts w:hint="eastAsia"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6"/>
        <w:tabs>
          <w:tab w:val="left" w:pos="5529"/>
        </w:tabs>
        <w:wordWrap w:val="0"/>
        <w:spacing w:line="480" w:lineRule="auto"/>
        <w:jc w:val="right"/>
        <w:rPr>
          <w:rFonts w:hint="eastAsia"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6"/>
        <w:spacing w:line="480" w:lineRule="auto"/>
        <w:ind w:firstLine="600"/>
        <w:jc w:val="right"/>
        <w:rPr>
          <w:rFonts w:hint="eastAsia"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757A314E">
      <w:pPr>
        <w:jc w:val="left"/>
        <w:outlineLvl w:val="1"/>
        <w:rPr>
          <w:rFonts w:hint="eastAsia" w:ascii="仿宋" w:hAnsi="仿宋" w:eastAsia="仿宋" w:cs="Times New Roman"/>
          <w:b/>
          <w:sz w:val="32"/>
          <w:szCs w:val="32"/>
        </w:rPr>
      </w:pPr>
    </w:p>
    <w:p w14:paraId="28688F5F">
      <w:pPr>
        <w:jc w:val="left"/>
        <w:outlineLvl w:val="1"/>
        <w:rPr>
          <w:rFonts w:hint="eastAsia" w:ascii="仿宋" w:hAnsi="仿宋" w:eastAsia="仿宋" w:cs="Times New Roman"/>
          <w:b/>
          <w:sz w:val="32"/>
          <w:szCs w:val="32"/>
        </w:rPr>
      </w:pPr>
    </w:p>
    <w:p w14:paraId="2E5263F1">
      <w:pPr>
        <w:jc w:val="left"/>
        <w:outlineLvl w:val="1"/>
        <w:rPr>
          <w:rFonts w:hint="eastAsia" w:ascii="仿宋" w:hAnsi="仿宋" w:eastAsia="仿宋" w:cs="Times New Roman"/>
          <w:b/>
          <w:sz w:val="32"/>
          <w:szCs w:val="32"/>
        </w:rPr>
      </w:pPr>
    </w:p>
    <w:p w14:paraId="01E595D6">
      <w:pPr>
        <w:jc w:val="left"/>
        <w:outlineLvl w:val="1"/>
        <w:rPr>
          <w:rFonts w:hint="eastAsia" w:ascii="仿宋" w:hAnsi="仿宋" w:eastAsia="仿宋" w:cs="Times New Roman"/>
          <w:b/>
          <w:sz w:val="32"/>
          <w:szCs w:val="32"/>
        </w:rPr>
      </w:pPr>
    </w:p>
    <w:p w14:paraId="67D3820D">
      <w:pPr>
        <w:jc w:val="left"/>
        <w:outlineLvl w:val="1"/>
        <w:rPr>
          <w:rFonts w:hint="eastAsia" w:ascii="仿宋" w:hAnsi="仿宋" w:eastAsia="仿宋" w:cs="Times New Roman"/>
          <w:b/>
          <w:sz w:val="32"/>
          <w:szCs w:val="32"/>
        </w:rPr>
      </w:pPr>
    </w:p>
    <w:p w14:paraId="4D8F0B68">
      <w:pPr>
        <w:jc w:val="left"/>
        <w:outlineLvl w:val="1"/>
        <w:rPr>
          <w:rFonts w:hint="eastAsia" w:ascii="仿宋" w:hAnsi="仿宋" w:eastAsia="仿宋" w:cs="Times New Roman"/>
          <w:b/>
          <w:sz w:val="32"/>
          <w:szCs w:val="32"/>
        </w:rPr>
      </w:pPr>
    </w:p>
    <w:p w14:paraId="381F9093">
      <w:pPr>
        <w:jc w:val="left"/>
        <w:outlineLvl w:val="1"/>
        <w:rPr>
          <w:rFonts w:hint="eastAsia" w:ascii="仿宋" w:hAnsi="仿宋" w:eastAsia="仿宋" w:cs="Times New Roman"/>
          <w:b/>
          <w:sz w:val="32"/>
          <w:szCs w:val="32"/>
        </w:rPr>
      </w:pPr>
    </w:p>
    <w:p w14:paraId="6A8B4C55">
      <w:pPr>
        <w:jc w:val="left"/>
        <w:outlineLvl w:val="1"/>
        <w:rPr>
          <w:rFonts w:hint="eastAsia" w:ascii="仿宋" w:hAnsi="仿宋" w:eastAsia="仿宋" w:cs="Times New Roman"/>
          <w:b/>
          <w:sz w:val="32"/>
          <w:szCs w:val="32"/>
        </w:rPr>
      </w:pPr>
    </w:p>
    <w:p w14:paraId="1E92632A">
      <w:pPr>
        <w:jc w:val="left"/>
        <w:outlineLvl w:val="1"/>
        <w:rPr>
          <w:rFonts w:hint="eastAsia" w:ascii="仿宋" w:hAnsi="仿宋" w:eastAsia="仿宋" w:cs="Times New Roman"/>
          <w:b/>
          <w:sz w:val="32"/>
          <w:szCs w:val="32"/>
        </w:rPr>
      </w:pPr>
    </w:p>
    <w:p w14:paraId="413C7C66">
      <w:pPr>
        <w:jc w:val="left"/>
        <w:outlineLvl w:val="1"/>
        <w:rPr>
          <w:rFonts w:hint="eastAsia" w:ascii="仿宋" w:hAnsi="仿宋" w:eastAsia="仿宋" w:cs="Times New Roman"/>
          <w:b/>
          <w:sz w:val="32"/>
          <w:szCs w:val="32"/>
        </w:rPr>
      </w:pPr>
    </w:p>
    <w:p w14:paraId="24959071">
      <w:pPr>
        <w:jc w:val="left"/>
        <w:outlineLvl w:val="1"/>
        <w:rPr>
          <w:rFonts w:hint="eastAsia" w:ascii="仿宋" w:hAnsi="仿宋" w:eastAsia="仿宋" w:cs="Times New Roman"/>
          <w:b/>
          <w:sz w:val="32"/>
          <w:szCs w:val="32"/>
        </w:rPr>
      </w:pPr>
    </w:p>
    <w:p w14:paraId="7D4C2F8D">
      <w:pPr>
        <w:jc w:val="left"/>
        <w:outlineLvl w:val="1"/>
        <w:rPr>
          <w:rFonts w:hint="eastAsia" w:ascii="仿宋" w:hAnsi="仿宋" w:eastAsia="仿宋" w:cs="Times New Roman"/>
          <w:b/>
          <w:sz w:val="32"/>
          <w:szCs w:val="32"/>
        </w:rPr>
      </w:pPr>
    </w:p>
    <w:p w14:paraId="4965D7C8">
      <w:pPr>
        <w:jc w:val="left"/>
        <w:outlineLvl w:val="1"/>
        <w:rPr>
          <w:rFonts w:hint="eastAsia" w:ascii="仿宋" w:hAnsi="仿宋" w:eastAsia="仿宋" w:cs="Times New Roman"/>
          <w:b/>
          <w:sz w:val="32"/>
          <w:szCs w:val="32"/>
        </w:rPr>
      </w:pPr>
    </w:p>
    <w:p w14:paraId="2CB7B1CE">
      <w:pPr>
        <w:jc w:val="left"/>
        <w:outlineLvl w:val="1"/>
        <w:rPr>
          <w:rFonts w:hint="eastAsia" w:ascii="仿宋" w:hAnsi="仿宋" w:eastAsia="仿宋" w:cs="Times New Roman"/>
          <w:b/>
          <w:sz w:val="32"/>
          <w:szCs w:val="32"/>
        </w:rPr>
      </w:pPr>
    </w:p>
    <w:p w14:paraId="1292E457">
      <w:pPr>
        <w:jc w:val="left"/>
        <w:outlineLvl w:val="1"/>
        <w:rPr>
          <w:rFonts w:hint="eastAsia" w:ascii="仿宋" w:hAnsi="仿宋" w:eastAsia="仿宋" w:cs="Times New Roman"/>
          <w:b/>
          <w:sz w:val="32"/>
          <w:szCs w:val="32"/>
        </w:rPr>
      </w:pPr>
    </w:p>
    <w:p w14:paraId="48A23761">
      <w:pPr>
        <w:jc w:val="left"/>
        <w:outlineLvl w:val="1"/>
        <w:rPr>
          <w:rFonts w:hint="eastAsia" w:ascii="仿宋" w:hAnsi="仿宋" w:eastAsia="仿宋" w:cs="Times New Roman"/>
          <w:b/>
          <w:sz w:val="32"/>
          <w:szCs w:val="32"/>
        </w:rPr>
      </w:pPr>
    </w:p>
    <w:p w14:paraId="308D62BD">
      <w:pPr>
        <w:jc w:val="left"/>
        <w:outlineLvl w:val="1"/>
        <w:rPr>
          <w:rFonts w:hint="eastAsia" w:ascii="仿宋" w:hAnsi="仿宋" w:eastAsia="仿宋" w:cs="Times New Roman"/>
          <w:b/>
          <w:sz w:val="32"/>
          <w:szCs w:val="32"/>
        </w:rPr>
      </w:pPr>
    </w:p>
    <w:p w14:paraId="01EB2B3D">
      <w:pPr>
        <w:jc w:val="left"/>
        <w:outlineLvl w:val="1"/>
        <w:rPr>
          <w:rFonts w:hint="eastAsia" w:ascii="仿宋" w:hAnsi="仿宋" w:eastAsia="仿宋" w:cs="Times New Roman"/>
          <w:b/>
          <w:sz w:val="32"/>
          <w:szCs w:val="32"/>
        </w:rPr>
      </w:pPr>
    </w:p>
    <w:p w14:paraId="6C06934D">
      <w:pPr>
        <w:jc w:val="left"/>
        <w:outlineLvl w:val="1"/>
        <w:rPr>
          <w:rFonts w:hint="eastAsia" w:ascii="仿宋" w:hAnsi="仿宋" w:eastAsia="仿宋" w:cs="Times New Roman"/>
          <w:b/>
          <w:sz w:val="32"/>
          <w:szCs w:val="32"/>
        </w:rPr>
      </w:pPr>
    </w:p>
    <w:p w14:paraId="46530441">
      <w:pPr>
        <w:jc w:val="left"/>
        <w:outlineLvl w:val="1"/>
        <w:rPr>
          <w:rFonts w:hint="eastAsia" w:ascii="仿宋" w:hAnsi="仿宋" w:eastAsia="仿宋" w:cs="Times New Roman"/>
          <w:b/>
          <w:sz w:val="32"/>
          <w:szCs w:val="32"/>
        </w:rPr>
      </w:pPr>
      <w:r>
        <w:rPr>
          <w:rFonts w:hint="eastAsia" w:ascii="仿宋" w:hAnsi="仿宋" w:eastAsia="仿宋" w:cs="Times New Roman"/>
          <w:b/>
          <w:sz w:val="32"/>
          <w:szCs w:val="32"/>
        </w:rPr>
        <w:t>5.有效主体资格证明(如营业执照、事业单位法人证书、执业许可证、自然人身份证等)</w:t>
      </w:r>
    </w:p>
    <w:p w14:paraId="103FE303">
      <w:pPr>
        <w:jc w:val="left"/>
        <w:outlineLvl w:val="1"/>
        <w:rPr>
          <w:rFonts w:hint="eastAsia" w:ascii="仿宋" w:hAnsi="仿宋" w:eastAsia="仿宋" w:cs="Times New Roman"/>
          <w:b/>
          <w:sz w:val="36"/>
          <w:szCs w:val="21"/>
        </w:rPr>
      </w:pPr>
    </w:p>
    <w:p w14:paraId="1958855C">
      <w:pPr>
        <w:jc w:val="left"/>
        <w:outlineLvl w:val="1"/>
        <w:rPr>
          <w:rFonts w:hint="eastAsia" w:ascii="仿宋" w:hAnsi="仿宋" w:eastAsia="仿宋" w:cs="Times New Roman"/>
          <w:b/>
          <w:sz w:val="36"/>
          <w:szCs w:val="21"/>
        </w:rPr>
      </w:pPr>
    </w:p>
    <w:p w14:paraId="79754C7B">
      <w:pPr>
        <w:pStyle w:val="5"/>
      </w:pPr>
    </w:p>
    <w:p w14:paraId="24C96315">
      <w:pPr>
        <w:pStyle w:val="5"/>
      </w:pPr>
    </w:p>
    <w:p w14:paraId="7CC10187">
      <w:pPr>
        <w:pStyle w:val="5"/>
      </w:pPr>
    </w:p>
    <w:p w14:paraId="370F17FF">
      <w:pPr>
        <w:pStyle w:val="5"/>
      </w:pPr>
    </w:p>
    <w:p w14:paraId="4F49DCE2">
      <w:pPr>
        <w:pStyle w:val="5"/>
      </w:pPr>
    </w:p>
    <w:p w14:paraId="7C34005B">
      <w:pPr>
        <w:pStyle w:val="5"/>
      </w:pPr>
    </w:p>
    <w:p w14:paraId="5FFA4F5A">
      <w:pPr>
        <w:pStyle w:val="5"/>
      </w:pPr>
    </w:p>
    <w:p w14:paraId="1CDE2E9F">
      <w:pPr>
        <w:pStyle w:val="5"/>
      </w:pPr>
    </w:p>
    <w:p w14:paraId="76D15524">
      <w:pPr>
        <w:pStyle w:val="5"/>
      </w:pPr>
    </w:p>
    <w:p w14:paraId="134DBBD8">
      <w:pPr>
        <w:pStyle w:val="5"/>
      </w:pPr>
    </w:p>
    <w:p w14:paraId="67CE7340">
      <w:pPr>
        <w:pStyle w:val="5"/>
      </w:pPr>
    </w:p>
    <w:p w14:paraId="1550FC44">
      <w:pPr>
        <w:pStyle w:val="5"/>
      </w:pPr>
    </w:p>
    <w:p w14:paraId="30B538CD">
      <w:pPr>
        <w:pStyle w:val="5"/>
      </w:pPr>
    </w:p>
    <w:p w14:paraId="6CB70454">
      <w:pPr>
        <w:pStyle w:val="5"/>
      </w:pPr>
    </w:p>
    <w:p w14:paraId="1EC58313">
      <w:pPr>
        <w:pStyle w:val="5"/>
      </w:pPr>
    </w:p>
    <w:p w14:paraId="46995F7F">
      <w:pPr>
        <w:pStyle w:val="5"/>
      </w:pPr>
    </w:p>
    <w:p w14:paraId="30CE1280">
      <w:pPr>
        <w:pStyle w:val="5"/>
      </w:pPr>
    </w:p>
    <w:p w14:paraId="6CC6FFA9">
      <w:pPr>
        <w:pStyle w:val="5"/>
      </w:pPr>
    </w:p>
    <w:p w14:paraId="19034583">
      <w:pPr>
        <w:pStyle w:val="5"/>
      </w:pPr>
    </w:p>
    <w:p w14:paraId="2001A37E">
      <w:pPr>
        <w:pStyle w:val="5"/>
      </w:pPr>
    </w:p>
    <w:p w14:paraId="64B814F5">
      <w:pPr>
        <w:pStyle w:val="5"/>
      </w:pPr>
    </w:p>
    <w:p w14:paraId="05E0F8B1">
      <w:pPr>
        <w:pStyle w:val="5"/>
      </w:pPr>
    </w:p>
    <w:p w14:paraId="6754634D">
      <w:pPr>
        <w:pStyle w:val="5"/>
      </w:pPr>
    </w:p>
    <w:p w14:paraId="2BA112F2">
      <w:pPr>
        <w:pStyle w:val="5"/>
      </w:pPr>
    </w:p>
    <w:p w14:paraId="3B412973">
      <w:pPr>
        <w:pStyle w:val="5"/>
      </w:pPr>
    </w:p>
    <w:p w14:paraId="0C4ACD0C">
      <w:pPr>
        <w:pStyle w:val="5"/>
      </w:pPr>
    </w:p>
    <w:p w14:paraId="2BD0605E">
      <w:pPr>
        <w:pStyle w:val="5"/>
      </w:pPr>
    </w:p>
    <w:p w14:paraId="291EC429">
      <w:pPr>
        <w:pStyle w:val="5"/>
      </w:pPr>
    </w:p>
    <w:p w14:paraId="7BE08999">
      <w:pPr>
        <w:pStyle w:val="5"/>
        <w:rPr>
          <w:rFonts w:hint="eastAsia" w:ascii="仿宋" w:hAnsi="仿宋" w:eastAsia="仿宋"/>
          <w:b/>
          <w:sz w:val="32"/>
          <w:szCs w:val="32"/>
        </w:rPr>
      </w:pPr>
      <w:r>
        <w:rPr>
          <w:rFonts w:hint="eastAsia" w:ascii="仿宋" w:hAnsi="仿宋" w:eastAsia="仿宋"/>
          <w:b/>
          <w:sz w:val="32"/>
          <w:szCs w:val="32"/>
        </w:rPr>
        <w:t>6.法定代表人身份证明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hint="eastAsia"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hint="eastAsia" w:ascii="仿宋" w:hAnsi="仿宋" w:eastAsia="仿宋" w:cs="Times New Roman"/>
          <w:sz w:val="30"/>
          <w:szCs w:val="30"/>
        </w:rPr>
      </w:pPr>
    </w:p>
    <w:p w14:paraId="3BC27ACB">
      <w:pPr>
        <w:spacing w:line="360" w:lineRule="auto"/>
        <w:ind w:left="540"/>
        <w:jc w:val="left"/>
        <w:rPr>
          <w:rFonts w:hint="eastAsia"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hint="eastAsia" w:ascii="仿宋" w:hAnsi="仿宋" w:eastAsia="仿宋" w:cs="Times New Roman"/>
          <w:sz w:val="30"/>
          <w:szCs w:val="30"/>
        </w:rPr>
      </w:pPr>
    </w:p>
    <w:p w14:paraId="3F5AC042">
      <w:pPr>
        <w:tabs>
          <w:tab w:val="left" w:pos="5529"/>
        </w:tabs>
        <w:wordWrap w:val="0"/>
        <w:spacing w:line="480" w:lineRule="auto"/>
        <w:jc w:val="right"/>
        <w:rPr>
          <w:rFonts w:hint="eastAsia"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hint="eastAsia"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5"/>
      </w:pPr>
    </w:p>
    <w:p w14:paraId="67FF2980">
      <w:pPr>
        <w:spacing w:line="480" w:lineRule="auto"/>
        <w:ind w:firstLine="600" w:firstLineChars="200"/>
        <w:jc w:val="right"/>
        <w:rPr>
          <w:rFonts w:hint="eastAsia"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hint="eastAsia" w:ascii="仿宋" w:hAnsi="仿宋" w:eastAsia="仿宋" w:cs="Times New Roman"/>
          <w:b/>
          <w:sz w:val="30"/>
          <w:szCs w:val="30"/>
        </w:rPr>
      </w:pPr>
    </w:p>
    <w:p w14:paraId="5C7A43D3">
      <w:pPr>
        <w:snapToGrid w:val="0"/>
        <w:spacing w:before="156" w:beforeLines="50" w:after="50" w:line="360" w:lineRule="auto"/>
        <w:jc w:val="left"/>
        <w:rPr>
          <w:rFonts w:hint="eastAsia" w:ascii="仿宋" w:hAnsi="仿宋" w:eastAsia="仿宋" w:cs="Times New Roman"/>
          <w:b/>
          <w:sz w:val="30"/>
          <w:szCs w:val="30"/>
        </w:rPr>
      </w:pPr>
      <w:r>
        <w:rPr>
          <w:rFonts w:hint="eastAsia" w:ascii="仿宋" w:hAnsi="仿宋" w:eastAsia="仿宋" w:cs="Times New Roman"/>
          <w:sz w:val="30"/>
          <w:szCs w:val="30"/>
        </w:rPr>
        <w:t>注：自然人投标的无需提供</w:t>
      </w:r>
    </w:p>
    <w:p w14:paraId="369458DB">
      <w:pPr>
        <w:rPr>
          <w:rFonts w:hint="eastAsia" w:ascii="仿宋" w:hAnsi="仿宋" w:eastAsia="仿宋"/>
          <w:b/>
          <w:sz w:val="32"/>
          <w:szCs w:val="32"/>
        </w:rPr>
      </w:pPr>
      <w:r>
        <w:rPr>
          <w:rFonts w:eastAsia="黑体"/>
          <w:sz w:val="24"/>
        </w:rPr>
        <w:br w:type="page"/>
      </w:r>
      <w:r>
        <w:rPr>
          <w:rFonts w:hint="eastAsia" w:ascii="仿宋" w:hAnsi="仿宋" w:eastAsia="仿宋"/>
          <w:b/>
          <w:sz w:val="32"/>
          <w:szCs w:val="32"/>
        </w:rPr>
        <w:t>7.授权委托书格式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hint="eastAsia"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hint="eastAsia"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3B7CD2AB">
      <w:pPr>
        <w:spacing w:line="360" w:lineRule="auto"/>
        <w:ind w:firstLine="560" w:firstLineChars="200"/>
        <w:contextualSpacing/>
        <w:jc w:val="left"/>
        <w:rPr>
          <w:rFonts w:hint="eastAsia"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hint="eastAsia"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hint="eastAsia"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hint="eastAsia"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hint="eastAsia"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hint="eastAsia"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hint="eastAsia"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hint="eastAsia"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hint="eastAsia"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05688D36">
      <w:pPr>
        <w:pStyle w:val="5"/>
        <w:jc w:val="left"/>
        <w:rPr>
          <w:b/>
          <w:sz w:val="44"/>
          <w:szCs w:val="36"/>
        </w:rPr>
      </w:pPr>
    </w:p>
    <w:p w14:paraId="1D91DCD2">
      <w:pPr>
        <w:pStyle w:val="5"/>
        <w:jc w:val="left"/>
        <w:rPr>
          <w:b/>
          <w:sz w:val="44"/>
          <w:szCs w:val="36"/>
        </w:rPr>
      </w:pPr>
      <w:r>
        <w:rPr>
          <w:rFonts w:hint="eastAsia"/>
          <w:b/>
          <w:sz w:val="44"/>
          <w:szCs w:val="36"/>
        </w:rPr>
        <w:t>二、商务技术文件格式</w:t>
      </w:r>
    </w:p>
    <w:p w14:paraId="3057EAD6">
      <w:pPr>
        <w:rPr>
          <w:rFonts w:hint="eastAsia"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报价表（格式）</w:t>
      </w:r>
    </w:p>
    <w:p w14:paraId="5E960700">
      <w:pPr>
        <w:spacing w:line="500" w:lineRule="exact"/>
        <w:jc w:val="center"/>
        <w:rPr>
          <w:rFonts w:hint="eastAsia" w:ascii="仿宋" w:hAnsi="仿宋" w:eastAsia="仿宋"/>
          <w:b/>
          <w:sz w:val="44"/>
          <w:szCs w:val="44"/>
        </w:rPr>
      </w:pPr>
      <w:r>
        <w:rPr>
          <w:rFonts w:hint="eastAsia" w:ascii="仿宋" w:hAnsi="仿宋" w:eastAsia="仿宋"/>
          <w:b/>
          <w:sz w:val="44"/>
          <w:szCs w:val="44"/>
        </w:rPr>
        <w:t>报价表</w:t>
      </w:r>
    </w:p>
    <w:p w14:paraId="4F11320C">
      <w:pPr>
        <w:snapToGrid w:val="0"/>
        <w:spacing w:line="500" w:lineRule="exact"/>
        <w:jc w:val="left"/>
        <w:rPr>
          <w:rFonts w:hint="eastAsia"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243EE80A">
      <w:pPr>
        <w:pStyle w:val="5"/>
      </w:pPr>
    </w:p>
    <w:tbl>
      <w:tblPr>
        <w:tblStyle w:val="12"/>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2693"/>
        <w:gridCol w:w="851"/>
        <w:gridCol w:w="850"/>
        <w:gridCol w:w="1134"/>
        <w:gridCol w:w="1560"/>
      </w:tblGrid>
      <w:tr w14:paraId="570F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332F6075">
            <w:pPr>
              <w:spacing w:line="360" w:lineRule="exact"/>
              <w:jc w:val="center"/>
              <w:rPr>
                <w:rFonts w:hint="eastAsia" w:ascii="仿宋" w:hAnsi="仿宋" w:eastAsia="仿宋" w:cs="Arial"/>
                <w:bCs/>
                <w:sz w:val="30"/>
                <w:szCs w:val="30"/>
              </w:rPr>
            </w:pPr>
            <w:r>
              <w:rPr>
                <w:rFonts w:ascii="仿宋" w:hAnsi="仿宋" w:eastAsia="仿宋" w:cs="Arial"/>
                <w:bCs/>
                <w:sz w:val="30"/>
                <w:szCs w:val="30"/>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6E21E6C1">
            <w:pPr>
              <w:spacing w:line="360" w:lineRule="exact"/>
              <w:jc w:val="center"/>
              <w:rPr>
                <w:rFonts w:hint="eastAsia" w:ascii="仿宋" w:hAnsi="仿宋" w:eastAsia="仿宋" w:cs="Arial"/>
                <w:bCs/>
                <w:sz w:val="30"/>
                <w:szCs w:val="30"/>
              </w:rPr>
            </w:pPr>
            <w:r>
              <w:rPr>
                <w:rFonts w:ascii="仿宋" w:hAnsi="仿宋" w:eastAsia="仿宋" w:cs="Arial"/>
                <w:bCs/>
                <w:sz w:val="30"/>
                <w:szCs w:val="30"/>
              </w:rPr>
              <w:t>名称</w:t>
            </w:r>
          </w:p>
        </w:tc>
        <w:tc>
          <w:tcPr>
            <w:tcW w:w="2693" w:type="dxa"/>
            <w:tcBorders>
              <w:top w:val="single" w:color="auto" w:sz="4" w:space="0"/>
              <w:left w:val="single" w:color="auto" w:sz="4" w:space="0"/>
              <w:bottom w:val="single" w:color="auto" w:sz="4" w:space="0"/>
              <w:right w:val="single" w:color="auto" w:sz="4" w:space="0"/>
            </w:tcBorders>
            <w:vAlign w:val="center"/>
          </w:tcPr>
          <w:p w14:paraId="33D29499">
            <w:pPr>
              <w:spacing w:line="360" w:lineRule="exact"/>
              <w:jc w:val="center"/>
              <w:rPr>
                <w:rFonts w:hint="eastAsia"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02A6540C">
            <w:pPr>
              <w:spacing w:line="360" w:lineRule="exact"/>
              <w:jc w:val="center"/>
              <w:rPr>
                <w:rFonts w:hint="eastAsia"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851" w:type="dxa"/>
            <w:tcBorders>
              <w:top w:val="single" w:color="auto" w:sz="4" w:space="0"/>
              <w:left w:val="single" w:color="auto" w:sz="4" w:space="0"/>
              <w:bottom w:val="single" w:color="auto" w:sz="4" w:space="0"/>
              <w:right w:val="single" w:color="auto" w:sz="4" w:space="0"/>
            </w:tcBorders>
            <w:vAlign w:val="center"/>
          </w:tcPr>
          <w:p w14:paraId="554D56CA">
            <w:pPr>
              <w:spacing w:line="360" w:lineRule="exact"/>
              <w:jc w:val="center"/>
              <w:rPr>
                <w:rFonts w:hint="eastAsia"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057EFA85">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1474D525">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单价</w:t>
            </w:r>
          </w:p>
          <w:p w14:paraId="1F2F2A4E">
            <w:pPr>
              <w:spacing w:line="360" w:lineRule="exact"/>
              <w:jc w:val="center"/>
              <w:rPr>
                <w:rFonts w:hint="eastAsia" w:ascii="仿宋" w:hAnsi="仿宋" w:eastAsia="仿宋" w:cs="Arial"/>
                <w:bCs/>
                <w:sz w:val="30"/>
                <w:szCs w:val="30"/>
              </w:rPr>
            </w:pPr>
            <w:r>
              <w:rPr>
                <w:rFonts w:ascii="仿宋" w:hAnsi="仿宋" w:eastAsia="仿宋" w:cs="Arial"/>
                <w:bCs/>
                <w:sz w:val="30"/>
                <w:szCs w:val="30"/>
              </w:rPr>
              <w:t>（元）</w:t>
            </w:r>
          </w:p>
        </w:tc>
        <w:tc>
          <w:tcPr>
            <w:tcW w:w="1560" w:type="dxa"/>
            <w:tcBorders>
              <w:top w:val="single" w:color="auto" w:sz="4" w:space="0"/>
              <w:left w:val="single" w:color="auto" w:sz="4" w:space="0"/>
              <w:bottom w:val="single" w:color="auto" w:sz="4" w:space="0"/>
              <w:right w:val="single" w:color="auto" w:sz="4" w:space="0"/>
            </w:tcBorders>
            <w:vAlign w:val="center"/>
          </w:tcPr>
          <w:p w14:paraId="2AE63301">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2E5B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0C3E3A9A">
            <w:pPr>
              <w:spacing w:line="360" w:lineRule="exact"/>
              <w:jc w:val="center"/>
              <w:rPr>
                <w:rFonts w:hint="eastAsia" w:ascii="仿宋" w:hAnsi="仿宋" w:eastAsia="仿宋" w:cs="Arial"/>
                <w:bCs/>
                <w:sz w:val="30"/>
                <w:szCs w:val="30"/>
              </w:rPr>
            </w:pPr>
            <w:r>
              <w:rPr>
                <w:rFonts w:ascii="仿宋" w:hAnsi="仿宋" w:eastAsia="仿宋" w:cs="Arial"/>
                <w:bCs/>
                <w:sz w:val="30"/>
                <w:szCs w:val="30"/>
              </w:rPr>
              <w:t>1</w:t>
            </w:r>
          </w:p>
        </w:tc>
        <w:tc>
          <w:tcPr>
            <w:tcW w:w="2268" w:type="dxa"/>
            <w:tcBorders>
              <w:top w:val="single" w:color="auto" w:sz="4" w:space="0"/>
              <w:left w:val="single" w:color="auto" w:sz="4" w:space="0"/>
              <w:bottom w:val="single" w:color="auto" w:sz="4" w:space="0"/>
              <w:right w:val="single" w:color="auto" w:sz="4" w:space="0"/>
            </w:tcBorders>
            <w:vAlign w:val="center"/>
          </w:tcPr>
          <w:p w14:paraId="3170E3E6">
            <w:pPr>
              <w:widowControl/>
              <w:jc w:val="center"/>
              <w:textAlignment w:val="center"/>
              <w:rPr>
                <w:rFonts w:hint="eastAsia"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78147B87">
            <w:pPr>
              <w:spacing w:line="360" w:lineRule="exact"/>
              <w:rPr>
                <w:rFonts w:hint="eastAsia" w:ascii="仿宋" w:hAnsi="仿宋" w:eastAsia="仿宋" w:cs="Arial"/>
                <w:bCs/>
                <w:sz w:val="30"/>
                <w:szCs w:val="30"/>
              </w:rPr>
            </w:pPr>
          </w:p>
          <w:p w14:paraId="1101F199">
            <w:pPr>
              <w:spacing w:line="360" w:lineRule="exact"/>
              <w:rPr>
                <w:rFonts w:hint="eastAsia"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55FA562A">
            <w:pPr>
              <w:spacing w:line="360" w:lineRule="exact"/>
              <w:rPr>
                <w:rFonts w:hint="eastAsia"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F15E001">
            <w:pPr>
              <w:widowControl/>
              <w:jc w:val="center"/>
              <w:textAlignment w:val="center"/>
              <w:rPr>
                <w:rFonts w:hint="eastAsia"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54FCE4A7">
            <w:pPr>
              <w:widowControl/>
              <w:jc w:val="center"/>
              <w:textAlignment w:val="center"/>
              <w:rPr>
                <w:rFonts w:hint="eastAsia"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12AFDD82">
            <w:pPr>
              <w:widowControl/>
              <w:jc w:val="center"/>
              <w:textAlignment w:val="center"/>
              <w:rPr>
                <w:rFonts w:hint="eastAsia" w:ascii="仿宋" w:hAnsi="仿宋" w:eastAsia="仿宋" w:cs="Arial"/>
                <w:bCs/>
                <w:sz w:val="30"/>
                <w:szCs w:val="30"/>
              </w:rPr>
            </w:pPr>
          </w:p>
        </w:tc>
      </w:tr>
      <w:tr w14:paraId="40D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0A0C41F">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2</w:t>
            </w:r>
          </w:p>
        </w:tc>
        <w:tc>
          <w:tcPr>
            <w:tcW w:w="2268" w:type="dxa"/>
            <w:tcBorders>
              <w:top w:val="single" w:color="auto" w:sz="4" w:space="0"/>
              <w:left w:val="single" w:color="auto" w:sz="4" w:space="0"/>
              <w:bottom w:val="single" w:color="auto" w:sz="4" w:space="0"/>
              <w:right w:val="single" w:color="auto" w:sz="4" w:space="0"/>
            </w:tcBorders>
            <w:vAlign w:val="center"/>
          </w:tcPr>
          <w:p w14:paraId="0D3D8AE6">
            <w:pPr>
              <w:widowControl/>
              <w:jc w:val="center"/>
              <w:textAlignment w:val="center"/>
              <w:rPr>
                <w:rFonts w:hint="eastAsia"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75269877">
            <w:pPr>
              <w:spacing w:line="360" w:lineRule="exact"/>
              <w:rPr>
                <w:rFonts w:hint="eastAsia"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44891B67">
            <w:pPr>
              <w:spacing w:line="360" w:lineRule="exact"/>
              <w:rPr>
                <w:rFonts w:hint="eastAsia"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40DBB870">
            <w:pPr>
              <w:widowControl/>
              <w:jc w:val="center"/>
              <w:textAlignment w:val="center"/>
              <w:rPr>
                <w:rFonts w:hint="eastAsia"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7A5CC9D4">
            <w:pPr>
              <w:widowControl/>
              <w:jc w:val="center"/>
              <w:textAlignment w:val="center"/>
              <w:rPr>
                <w:rFonts w:hint="eastAsia"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4DEB4ED6">
            <w:pPr>
              <w:widowControl/>
              <w:jc w:val="center"/>
              <w:textAlignment w:val="center"/>
              <w:rPr>
                <w:rFonts w:hint="eastAsia" w:ascii="仿宋" w:hAnsi="仿宋" w:eastAsia="仿宋" w:cs="Arial"/>
                <w:bCs/>
                <w:sz w:val="30"/>
                <w:szCs w:val="30"/>
              </w:rPr>
            </w:pPr>
          </w:p>
        </w:tc>
      </w:tr>
      <w:tr w14:paraId="4096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6C4EEE35">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3</w:t>
            </w:r>
          </w:p>
        </w:tc>
        <w:tc>
          <w:tcPr>
            <w:tcW w:w="2268" w:type="dxa"/>
            <w:tcBorders>
              <w:top w:val="single" w:color="auto" w:sz="4" w:space="0"/>
              <w:left w:val="single" w:color="auto" w:sz="4" w:space="0"/>
              <w:bottom w:val="single" w:color="auto" w:sz="4" w:space="0"/>
              <w:right w:val="single" w:color="auto" w:sz="4" w:space="0"/>
            </w:tcBorders>
            <w:vAlign w:val="center"/>
          </w:tcPr>
          <w:p w14:paraId="217B298C">
            <w:pPr>
              <w:widowControl/>
              <w:jc w:val="center"/>
              <w:textAlignment w:val="center"/>
              <w:rPr>
                <w:rFonts w:hint="eastAsia" w:ascii="仿宋" w:hAnsi="仿宋" w:eastAsia="仿宋" w:cs="Arial"/>
                <w:bCs/>
                <w:sz w:val="30"/>
                <w:szCs w:val="30"/>
              </w:rPr>
            </w:pPr>
            <w:r>
              <w:rPr>
                <w:rFonts w:ascii="仿宋" w:hAnsi="仿宋" w:eastAsia="仿宋" w:cs="Arial"/>
                <w:bCs/>
                <w:sz w:val="30"/>
                <w:szCs w:val="30"/>
              </w:rPr>
              <w:t>……</w:t>
            </w:r>
          </w:p>
        </w:tc>
        <w:tc>
          <w:tcPr>
            <w:tcW w:w="2693" w:type="dxa"/>
            <w:tcBorders>
              <w:top w:val="single" w:color="auto" w:sz="4" w:space="0"/>
              <w:left w:val="single" w:color="auto" w:sz="4" w:space="0"/>
              <w:bottom w:val="single" w:color="auto" w:sz="4" w:space="0"/>
              <w:right w:val="single" w:color="auto" w:sz="4" w:space="0"/>
            </w:tcBorders>
            <w:vAlign w:val="center"/>
          </w:tcPr>
          <w:p w14:paraId="5A5716C5">
            <w:pPr>
              <w:spacing w:line="360" w:lineRule="exact"/>
              <w:rPr>
                <w:rFonts w:hint="eastAsia"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62B65885">
            <w:pPr>
              <w:spacing w:line="360" w:lineRule="exact"/>
              <w:rPr>
                <w:rFonts w:hint="eastAsia"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7874E4E9">
            <w:pPr>
              <w:widowControl/>
              <w:jc w:val="center"/>
              <w:textAlignment w:val="center"/>
              <w:rPr>
                <w:rFonts w:hint="eastAsia"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0A6FD5A6">
            <w:pPr>
              <w:widowControl/>
              <w:jc w:val="center"/>
              <w:textAlignment w:val="center"/>
              <w:rPr>
                <w:rFonts w:hint="eastAsia"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50612D8A">
            <w:pPr>
              <w:widowControl/>
              <w:jc w:val="center"/>
              <w:textAlignment w:val="center"/>
              <w:rPr>
                <w:rFonts w:hint="eastAsia" w:ascii="仿宋" w:hAnsi="仿宋" w:eastAsia="仿宋" w:cs="Arial"/>
                <w:bCs/>
                <w:sz w:val="30"/>
                <w:szCs w:val="30"/>
              </w:rPr>
            </w:pPr>
          </w:p>
        </w:tc>
      </w:tr>
      <w:tr w14:paraId="6AA3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40ED4F0A">
            <w:pPr>
              <w:spacing w:line="360" w:lineRule="exact"/>
              <w:jc w:val="left"/>
              <w:rPr>
                <w:rFonts w:hint="eastAsia"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2D77BFAD">
            <w:pPr>
              <w:spacing w:line="360" w:lineRule="exact"/>
              <w:jc w:val="left"/>
              <w:rPr>
                <w:rFonts w:hint="eastAsia" w:ascii="仿宋" w:hAnsi="仿宋" w:eastAsia="仿宋" w:cs="Arial"/>
                <w:bCs/>
                <w:sz w:val="30"/>
                <w:szCs w:val="30"/>
              </w:rPr>
            </w:pPr>
            <w:r>
              <w:rPr>
                <w:rFonts w:ascii="仿宋" w:hAnsi="仿宋" w:eastAsia="仿宋" w:cs="Arial"/>
                <w:bCs/>
                <w:sz w:val="30"/>
                <w:szCs w:val="30"/>
              </w:rPr>
              <w:t>包含装卸、运输等所有费用。</w:t>
            </w:r>
          </w:p>
        </w:tc>
      </w:tr>
      <w:tr w14:paraId="1A21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78BDDB0F">
            <w:pPr>
              <w:spacing w:line="360" w:lineRule="exact"/>
              <w:jc w:val="left"/>
              <w:rPr>
                <w:rFonts w:hint="eastAsia" w:ascii="仿宋" w:hAnsi="仿宋" w:eastAsia="仿宋" w:cs="Arial"/>
                <w:bCs/>
                <w:sz w:val="30"/>
                <w:szCs w:val="30"/>
              </w:rPr>
            </w:pPr>
            <w:r>
              <w:rPr>
                <w:rFonts w:hint="eastAsia" w:ascii="仿宋" w:hAnsi="仿宋" w:eastAsia="仿宋" w:cs="Arial"/>
                <w:bCs/>
                <w:sz w:val="30"/>
                <w:szCs w:val="30"/>
                <w:lang w:val="en-US" w:eastAsia="zh-CN"/>
              </w:rPr>
              <w:t>供货时间</w:t>
            </w:r>
            <w:r>
              <w:rPr>
                <w:rFonts w:ascii="仿宋" w:hAnsi="仿宋" w:eastAsia="仿宋" w:cs="Arial"/>
                <w:bCs/>
                <w:sz w:val="30"/>
                <w:szCs w:val="30"/>
              </w:rPr>
              <w:t>：自合同签订之日起</w:t>
            </w:r>
            <w:r>
              <w:rPr>
                <w:rFonts w:hint="eastAsia" w:ascii="仿宋" w:hAnsi="仿宋" w:eastAsia="仿宋" w:cs="Arial"/>
                <w:b/>
                <w:bCs/>
                <w:sz w:val="30"/>
                <w:szCs w:val="30"/>
                <w:u w:val="single"/>
              </w:rPr>
              <w:t xml:space="preserve">    </w:t>
            </w:r>
            <w:r>
              <w:rPr>
                <w:rFonts w:hint="eastAsia" w:ascii="仿宋" w:hAnsi="仿宋" w:eastAsia="仿宋" w:cs="Arial"/>
                <w:b/>
                <w:bCs/>
                <w:sz w:val="30"/>
                <w:szCs w:val="30"/>
                <w:u w:val="single"/>
                <w:lang w:val="en-US" w:eastAsia="zh-CN"/>
              </w:rPr>
              <w:t>月</w:t>
            </w:r>
            <w:r>
              <w:rPr>
                <w:rFonts w:hint="eastAsia" w:ascii="仿宋" w:hAnsi="仿宋" w:eastAsia="仿宋" w:cs="Arial"/>
                <w:b/>
                <w:bCs/>
                <w:sz w:val="30"/>
                <w:szCs w:val="30"/>
                <w:u w:val="single"/>
              </w:rPr>
              <w:t>；</w:t>
            </w:r>
          </w:p>
          <w:p w14:paraId="04A76716">
            <w:pPr>
              <w:pStyle w:val="5"/>
              <w:rPr>
                <w:rFonts w:hint="eastAsia" w:ascii="仿宋" w:hAnsi="仿宋" w:eastAsia="仿宋" w:cs="Arial"/>
                <w:b/>
                <w:bCs/>
                <w:sz w:val="30"/>
                <w:szCs w:val="30"/>
              </w:rPr>
            </w:pPr>
            <w:r>
              <w:rPr>
                <w:rFonts w:hint="eastAsia" w:ascii="仿宋" w:hAnsi="仿宋" w:eastAsia="仿宋" w:cs="Arial"/>
                <w:bCs/>
                <w:sz w:val="30"/>
                <w:szCs w:val="30"/>
              </w:rPr>
              <w:t>质保期限：自验收合格并交付使用之日起</w:t>
            </w:r>
            <w:r>
              <w:rPr>
                <w:rFonts w:hint="eastAsia" w:ascii="仿宋" w:hAnsi="仿宋" w:eastAsia="仿宋" w:cs="Arial"/>
                <w:b/>
                <w:bCs/>
                <w:sz w:val="30"/>
                <w:szCs w:val="30"/>
                <w:u w:val="single"/>
              </w:rPr>
              <w:t xml:space="preserve">  </w:t>
            </w:r>
            <w:r>
              <w:rPr>
                <w:rFonts w:hint="eastAsia" w:ascii="仿宋" w:hAnsi="仿宋" w:eastAsia="仿宋" w:cs="Arial"/>
                <w:b/>
                <w:bCs/>
                <w:sz w:val="30"/>
                <w:szCs w:val="30"/>
                <w:u w:val="single"/>
                <w:lang w:val="en-US" w:eastAsia="zh-CN"/>
              </w:rPr>
              <w:t>年</w:t>
            </w:r>
            <w:r>
              <w:rPr>
                <w:rFonts w:hint="eastAsia" w:ascii="仿宋" w:hAnsi="仿宋" w:eastAsia="仿宋" w:cs="Arial"/>
                <w:b/>
                <w:bCs/>
                <w:sz w:val="30"/>
                <w:szCs w:val="30"/>
              </w:rPr>
              <w:t>。</w:t>
            </w:r>
            <w:bookmarkStart w:id="55" w:name="_GoBack"/>
            <w:bookmarkEnd w:id="55"/>
          </w:p>
        </w:tc>
      </w:tr>
    </w:tbl>
    <w:p w14:paraId="676A79B2">
      <w:pPr>
        <w:pStyle w:val="6"/>
        <w:spacing w:line="500" w:lineRule="exact"/>
        <w:rPr>
          <w:rFonts w:hint="eastAsia"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08DE238D">
      <w:pPr>
        <w:pStyle w:val="7"/>
        <w:ind w:left="5250"/>
      </w:pPr>
    </w:p>
    <w:p w14:paraId="0490C2AC">
      <w:pPr>
        <w:pStyle w:val="6"/>
        <w:spacing w:line="500" w:lineRule="exact"/>
        <w:rPr>
          <w:rFonts w:hint="eastAsia"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536B6F3F">
      <w:pPr>
        <w:spacing w:line="276" w:lineRule="auto"/>
        <w:jc w:val="left"/>
        <w:rPr>
          <w:rFonts w:hint="eastAsia"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2A7D69C7">
      <w:pPr>
        <w:spacing w:line="276" w:lineRule="auto"/>
        <w:jc w:val="left"/>
        <w:rPr>
          <w:rFonts w:hint="eastAsia"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448DB939">
      <w:pPr>
        <w:spacing w:line="276" w:lineRule="auto"/>
        <w:jc w:val="left"/>
        <w:rPr>
          <w:rFonts w:hint="eastAsia"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7059FC1C">
      <w:pPr>
        <w:widowControl/>
        <w:adjustRightInd w:val="0"/>
        <w:snapToGrid w:val="0"/>
        <w:spacing w:line="360" w:lineRule="auto"/>
        <w:jc w:val="left"/>
        <w:rPr>
          <w:rFonts w:hint="eastAsia" w:ascii="仿宋" w:hAnsi="仿宋" w:eastAsia="仿宋" w:cs="Arial"/>
          <w:color w:val="000000"/>
          <w:kern w:val="0"/>
          <w:sz w:val="30"/>
          <w:szCs w:val="30"/>
        </w:rPr>
      </w:pPr>
    </w:p>
    <w:p w14:paraId="4D3D706F">
      <w:pPr>
        <w:pStyle w:val="5"/>
        <w:jc w:val="left"/>
        <w:rPr>
          <w:rFonts w:hint="eastAsia" w:ascii="宋体" w:hAnsi="宋体" w:cs="宋体"/>
          <w:b/>
          <w:sz w:val="28"/>
        </w:rPr>
      </w:pPr>
    </w:p>
    <w:p w14:paraId="622E3E2D">
      <w:pPr>
        <w:pStyle w:val="5"/>
        <w:jc w:val="left"/>
        <w:rPr>
          <w:rFonts w:hint="eastAsia" w:ascii="宋体" w:hAnsi="宋体" w:cs="宋体"/>
          <w:b/>
          <w:sz w:val="28"/>
        </w:rPr>
      </w:pPr>
    </w:p>
    <w:p w14:paraId="3D8A881A">
      <w:pPr>
        <w:pStyle w:val="5"/>
        <w:jc w:val="left"/>
        <w:rPr>
          <w:rFonts w:hint="eastAsia" w:ascii="宋体" w:hAnsi="宋体" w:cs="宋体"/>
          <w:b/>
          <w:sz w:val="28"/>
        </w:rPr>
      </w:pPr>
    </w:p>
    <w:p w14:paraId="42D1A3FD">
      <w:pPr>
        <w:pStyle w:val="5"/>
        <w:jc w:val="left"/>
        <w:rPr>
          <w:rFonts w:hint="eastAsia" w:ascii="宋体" w:hAnsi="宋体" w:cs="宋体"/>
        </w:rPr>
      </w:pPr>
      <w:r>
        <w:rPr>
          <w:rFonts w:hint="eastAsia" w:ascii="宋体" w:hAnsi="宋体" w:cs="宋体"/>
          <w:b/>
          <w:sz w:val="28"/>
        </w:rPr>
        <w:t>2.商务、技术响应、偏离情况说明表</w:t>
      </w:r>
    </w:p>
    <w:p w14:paraId="17459B5C">
      <w:pPr>
        <w:spacing w:before="156" w:beforeLines="50" w:after="156" w:afterLines="50" w:line="360" w:lineRule="exact"/>
        <w:rPr>
          <w:rFonts w:hint="eastAsia"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208E56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B9DB8B1">
            <w:pPr>
              <w:adjustRightInd w:val="0"/>
              <w:snapToGrid w:val="0"/>
              <w:spacing w:line="300" w:lineRule="auto"/>
              <w:outlineLvl w:val="0"/>
              <w:rPr>
                <w:rFonts w:hint="eastAsia" w:ascii="宋体" w:hAnsi="宋体"/>
                <w:sz w:val="24"/>
                <w:szCs w:val="24"/>
              </w:rPr>
            </w:pPr>
            <w:bookmarkStart w:id="5" w:name="_Toc254970588"/>
            <w:bookmarkStart w:id="6" w:name="_Toc171349578"/>
            <w:bookmarkStart w:id="7" w:name="_Toc173066401"/>
            <w:bookmarkStart w:id="8" w:name="_Toc173211900"/>
            <w:bookmarkStart w:id="9" w:name="_Toc405905876"/>
            <w:bookmarkStart w:id="10" w:name="_Toc254970729"/>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7E581D9E">
            <w:pPr>
              <w:jc w:val="center"/>
              <w:rPr>
                <w:rFonts w:hint="eastAsia"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1B8C096D">
            <w:pPr>
              <w:ind w:right="23" w:rightChars="11"/>
              <w:jc w:val="center"/>
              <w:rPr>
                <w:rFonts w:hint="eastAsia"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96D68C6">
            <w:pPr>
              <w:adjustRightInd w:val="0"/>
              <w:snapToGrid w:val="0"/>
              <w:spacing w:line="300" w:lineRule="auto"/>
              <w:jc w:val="center"/>
              <w:outlineLvl w:val="0"/>
              <w:rPr>
                <w:rFonts w:hint="eastAsia" w:ascii="宋体" w:hAnsi="宋体"/>
                <w:sz w:val="24"/>
                <w:szCs w:val="24"/>
              </w:rPr>
            </w:pPr>
            <w:bookmarkStart w:id="11" w:name="_Toc254970591"/>
            <w:bookmarkStart w:id="12" w:name="_Toc171349581"/>
            <w:bookmarkStart w:id="13" w:name="_Toc173066404"/>
            <w:bookmarkStart w:id="14" w:name="_Toc254970732"/>
            <w:bookmarkStart w:id="15" w:name="_Toc405905879"/>
            <w:bookmarkStart w:id="16" w:name="_Toc173211903"/>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25D9BF6">
            <w:pPr>
              <w:adjustRightInd w:val="0"/>
              <w:snapToGrid w:val="0"/>
              <w:spacing w:line="300" w:lineRule="auto"/>
              <w:jc w:val="center"/>
              <w:outlineLvl w:val="0"/>
              <w:rPr>
                <w:rFonts w:hint="eastAsia" w:ascii="宋体" w:hAnsi="宋体"/>
                <w:sz w:val="24"/>
                <w:szCs w:val="24"/>
              </w:rPr>
            </w:pPr>
            <w:bookmarkStart w:id="17" w:name="_Toc173211904"/>
            <w:bookmarkStart w:id="18" w:name="_Toc254970733"/>
            <w:bookmarkStart w:id="19" w:name="_Toc405905880"/>
            <w:bookmarkStart w:id="20" w:name="_Toc173066405"/>
            <w:bookmarkStart w:id="21" w:name="_Toc171349582"/>
            <w:bookmarkStart w:id="22" w:name="_Toc254970592"/>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08CF5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E10E15A">
            <w:pPr>
              <w:adjustRightInd w:val="0"/>
              <w:snapToGrid w:val="0"/>
              <w:spacing w:line="240" w:lineRule="exact"/>
              <w:jc w:val="center"/>
              <w:outlineLvl w:val="0"/>
              <w:rPr>
                <w:rFonts w:hint="eastAsia" w:ascii="宋体" w:hAnsi="宋体"/>
                <w:sz w:val="24"/>
                <w:szCs w:val="24"/>
              </w:rPr>
            </w:pPr>
            <w:bookmarkStart w:id="23" w:name="_Toc405905881"/>
            <w:bookmarkStart w:id="24" w:name="_Toc171349583"/>
            <w:r>
              <w:rPr>
                <w:rFonts w:hint="eastAsia" w:ascii="宋体" w:hAnsi="宋体"/>
                <w:sz w:val="24"/>
              </w:rPr>
              <w:t>商务部分</w:t>
            </w:r>
            <w:bookmarkEnd w:id="23"/>
            <w:bookmarkEnd w:id="24"/>
          </w:p>
        </w:tc>
      </w:tr>
      <w:tr w14:paraId="27ABDA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91F2DA5">
            <w:pPr>
              <w:adjustRightInd w:val="0"/>
              <w:snapToGrid w:val="0"/>
              <w:spacing w:line="240" w:lineRule="exact"/>
              <w:jc w:val="center"/>
              <w:outlineLvl w:val="0"/>
              <w:rPr>
                <w:rFonts w:hint="eastAsia" w:ascii="宋体" w:hAnsi="宋体"/>
                <w:sz w:val="24"/>
                <w:szCs w:val="24"/>
              </w:rPr>
            </w:pPr>
            <w:bookmarkStart w:id="25" w:name="_Toc173211905"/>
            <w:bookmarkStart w:id="26" w:name="_Toc173066406"/>
            <w:bookmarkStart w:id="27" w:name="_Toc254970593"/>
            <w:bookmarkStart w:id="28" w:name="_Toc405905882"/>
            <w:bookmarkStart w:id="29" w:name="_Toc254970734"/>
            <w:bookmarkStart w:id="30" w:name="_Toc171349584"/>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1C97FA06">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242F596">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E5B865C">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2E89D7E">
            <w:pPr>
              <w:adjustRightInd w:val="0"/>
              <w:snapToGrid w:val="0"/>
              <w:spacing w:line="240" w:lineRule="exact"/>
              <w:jc w:val="center"/>
              <w:outlineLvl w:val="0"/>
              <w:rPr>
                <w:rFonts w:hint="eastAsia" w:ascii="宋体" w:hAnsi="宋体"/>
                <w:sz w:val="24"/>
                <w:szCs w:val="24"/>
              </w:rPr>
            </w:pPr>
          </w:p>
        </w:tc>
      </w:tr>
      <w:tr w14:paraId="6B8AFB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C900C12">
            <w:pPr>
              <w:adjustRightInd w:val="0"/>
              <w:snapToGrid w:val="0"/>
              <w:spacing w:line="240" w:lineRule="exact"/>
              <w:jc w:val="center"/>
              <w:outlineLvl w:val="0"/>
              <w:rPr>
                <w:rFonts w:hint="eastAsia" w:ascii="宋体" w:hAnsi="宋体"/>
                <w:sz w:val="24"/>
                <w:szCs w:val="24"/>
              </w:rPr>
            </w:pPr>
            <w:bookmarkStart w:id="31" w:name="_Toc254970735"/>
            <w:bookmarkStart w:id="32" w:name="_Toc405905883"/>
            <w:bookmarkStart w:id="33" w:name="_Toc173211906"/>
            <w:bookmarkStart w:id="34" w:name="_Toc254970594"/>
            <w:bookmarkStart w:id="35" w:name="_Toc171349585"/>
            <w:bookmarkStart w:id="36" w:name="_Toc173066407"/>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4AA2D49">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F32793D">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41CA1F4">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DE13B39">
            <w:pPr>
              <w:adjustRightInd w:val="0"/>
              <w:snapToGrid w:val="0"/>
              <w:spacing w:line="240" w:lineRule="exact"/>
              <w:jc w:val="center"/>
              <w:outlineLvl w:val="0"/>
              <w:rPr>
                <w:rFonts w:hint="eastAsia" w:ascii="宋体" w:hAnsi="宋体"/>
                <w:sz w:val="24"/>
                <w:szCs w:val="24"/>
              </w:rPr>
            </w:pPr>
          </w:p>
        </w:tc>
      </w:tr>
      <w:tr w14:paraId="3BE39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81033CE">
            <w:pPr>
              <w:adjustRightInd w:val="0"/>
              <w:snapToGrid w:val="0"/>
              <w:spacing w:line="240" w:lineRule="exact"/>
              <w:jc w:val="center"/>
              <w:outlineLvl w:val="0"/>
              <w:rPr>
                <w:rFonts w:hint="eastAsia" w:ascii="宋体" w:hAnsi="宋体"/>
                <w:sz w:val="24"/>
                <w:szCs w:val="24"/>
              </w:rPr>
            </w:pPr>
            <w:bookmarkStart w:id="37" w:name="_Toc173211907"/>
            <w:bookmarkStart w:id="38" w:name="_Toc405905884"/>
            <w:bookmarkStart w:id="39" w:name="_Toc254970595"/>
            <w:bookmarkStart w:id="40" w:name="_Toc254970736"/>
            <w:bookmarkStart w:id="41" w:name="_Toc173066408"/>
            <w:bookmarkStart w:id="42" w:name="_Toc171349586"/>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41C21952">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CAB6134">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407F634">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306536C">
            <w:pPr>
              <w:adjustRightInd w:val="0"/>
              <w:snapToGrid w:val="0"/>
              <w:spacing w:line="240" w:lineRule="exact"/>
              <w:jc w:val="center"/>
              <w:outlineLvl w:val="0"/>
              <w:rPr>
                <w:rFonts w:hint="eastAsia" w:ascii="宋体" w:hAnsi="宋体"/>
                <w:sz w:val="24"/>
                <w:szCs w:val="24"/>
              </w:rPr>
            </w:pPr>
          </w:p>
        </w:tc>
      </w:tr>
      <w:tr w14:paraId="764FF6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33A8F08">
            <w:pPr>
              <w:adjustRightInd w:val="0"/>
              <w:snapToGrid w:val="0"/>
              <w:spacing w:line="240" w:lineRule="exact"/>
              <w:jc w:val="center"/>
              <w:outlineLvl w:val="0"/>
              <w:rPr>
                <w:rFonts w:hint="eastAsia" w:ascii="宋体" w:hAnsi="宋体"/>
                <w:sz w:val="24"/>
                <w:szCs w:val="24"/>
              </w:rPr>
            </w:pPr>
            <w:bookmarkStart w:id="43" w:name="_Toc405905885"/>
            <w:bookmarkStart w:id="44" w:name="_Toc171349587"/>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43785EE2">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15FBF5D">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90C42A5">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11FDAE8">
            <w:pPr>
              <w:adjustRightInd w:val="0"/>
              <w:snapToGrid w:val="0"/>
              <w:spacing w:line="240" w:lineRule="exact"/>
              <w:jc w:val="center"/>
              <w:outlineLvl w:val="0"/>
              <w:rPr>
                <w:rFonts w:hint="eastAsia" w:ascii="宋体" w:hAnsi="宋体"/>
                <w:sz w:val="24"/>
                <w:szCs w:val="24"/>
              </w:rPr>
            </w:pPr>
          </w:p>
        </w:tc>
      </w:tr>
      <w:tr w14:paraId="05AA30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53EC195">
            <w:pPr>
              <w:adjustRightInd w:val="0"/>
              <w:snapToGrid w:val="0"/>
              <w:spacing w:line="240" w:lineRule="exact"/>
              <w:jc w:val="center"/>
              <w:outlineLvl w:val="0"/>
              <w:rPr>
                <w:rFonts w:hint="eastAsia" w:ascii="宋体" w:hAnsi="宋体"/>
                <w:sz w:val="24"/>
                <w:szCs w:val="24"/>
              </w:rPr>
            </w:pPr>
            <w:bookmarkStart w:id="45" w:name="_Toc405905886"/>
            <w:bookmarkStart w:id="46" w:name="_Toc171349588"/>
            <w:r>
              <w:rPr>
                <w:rFonts w:hint="eastAsia" w:ascii="宋体" w:hAnsi="宋体"/>
                <w:sz w:val="24"/>
              </w:rPr>
              <w:t>技术部分</w:t>
            </w:r>
            <w:bookmarkEnd w:id="45"/>
            <w:bookmarkEnd w:id="46"/>
          </w:p>
        </w:tc>
      </w:tr>
      <w:tr w14:paraId="75B175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FAFB791">
            <w:pPr>
              <w:adjustRightInd w:val="0"/>
              <w:snapToGrid w:val="0"/>
              <w:spacing w:line="240" w:lineRule="exact"/>
              <w:jc w:val="center"/>
              <w:outlineLvl w:val="0"/>
              <w:rPr>
                <w:rFonts w:hint="eastAsia" w:ascii="宋体" w:hAnsi="宋体"/>
                <w:sz w:val="24"/>
                <w:szCs w:val="24"/>
              </w:rPr>
            </w:pPr>
            <w:bookmarkStart w:id="47" w:name="_Toc405905887"/>
            <w:bookmarkStart w:id="48" w:name="_Toc171349589"/>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636E4EAC">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4BC6A2E">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889879D">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041F4">
            <w:pPr>
              <w:adjustRightInd w:val="0"/>
              <w:snapToGrid w:val="0"/>
              <w:spacing w:line="240" w:lineRule="exact"/>
              <w:jc w:val="center"/>
              <w:outlineLvl w:val="0"/>
              <w:rPr>
                <w:rFonts w:hint="eastAsia" w:ascii="宋体" w:hAnsi="宋体"/>
                <w:sz w:val="24"/>
                <w:szCs w:val="24"/>
              </w:rPr>
            </w:pPr>
          </w:p>
        </w:tc>
      </w:tr>
      <w:tr w14:paraId="70BF5F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1F53195">
            <w:pPr>
              <w:adjustRightInd w:val="0"/>
              <w:snapToGrid w:val="0"/>
              <w:spacing w:line="240" w:lineRule="exact"/>
              <w:jc w:val="center"/>
              <w:outlineLvl w:val="0"/>
              <w:rPr>
                <w:rFonts w:hint="eastAsia" w:ascii="宋体" w:hAnsi="宋体"/>
                <w:sz w:val="24"/>
                <w:szCs w:val="24"/>
              </w:rPr>
            </w:pPr>
            <w:bookmarkStart w:id="49" w:name="_Toc405905888"/>
            <w:bookmarkStart w:id="50" w:name="_Toc171349590"/>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3F516D7E">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D5AF853">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25A15BA">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79958AD">
            <w:pPr>
              <w:adjustRightInd w:val="0"/>
              <w:snapToGrid w:val="0"/>
              <w:spacing w:line="240" w:lineRule="exact"/>
              <w:jc w:val="center"/>
              <w:outlineLvl w:val="0"/>
              <w:rPr>
                <w:rFonts w:hint="eastAsia" w:ascii="宋体" w:hAnsi="宋体"/>
                <w:sz w:val="24"/>
                <w:szCs w:val="24"/>
              </w:rPr>
            </w:pPr>
          </w:p>
        </w:tc>
      </w:tr>
      <w:tr w14:paraId="2AC5DB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B0CFB9D">
            <w:pPr>
              <w:adjustRightInd w:val="0"/>
              <w:snapToGrid w:val="0"/>
              <w:spacing w:line="240" w:lineRule="exact"/>
              <w:jc w:val="center"/>
              <w:outlineLvl w:val="0"/>
              <w:rPr>
                <w:rFonts w:hint="eastAsia" w:ascii="宋体" w:hAnsi="宋体"/>
                <w:sz w:val="24"/>
                <w:szCs w:val="24"/>
              </w:rPr>
            </w:pPr>
            <w:bookmarkStart w:id="51" w:name="_Toc171349591"/>
            <w:bookmarkStart w:id="52" w:name="_Toc405905889"/>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5CE593AA">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432CF89">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5A9EAFD">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ED23B27">
            <w:pPr>
              <w:adjustRightInd w:val="0"/>
              <w:snapToGrid w:val="0"/>
              <w:spacing w:line="240" w:lineRule="exact"/>
              <w:jc w:val="center"/>
              <w:outlineLvl w:val="0"/>
              <w:rPr>
                <w:rFonts w:hint="eastAsia" w:ascii="宋体" w:hAnsi="宋体"/>
                <w:sz w:val="24"/>
                <w:szCs w:val="24"/>
              </w:rPr>
            </w:pPr>
          </w:p>
        </w:tc>
      </w:tr>
      <w:tr w14:paraId="3044DE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68A7F32">
            <w:pPr>
              <w:adjustRightInd w:val="0"/>
              <w:snapToGrid w:val="0"/>
              <w:spacing w:line="240" w:lineRule="exact"/>
              <w:jc w:val="center"/>
              <w:outlineLvl w:val="0"/>
              <w:rPr>
                <w:rFonts w:hint="eastAsia" w:ascii="宋体" w:hAnsi="宋体"/>
                <w:sz w:val="24"/>
                <w:szCs w:val="24"/>
              </w:rPr>
            </w:pPr>
            <w:bookmarkStart w:id="53" w:name="_Toc405905890"/>
            <w:bookmarkStart w:id="54" w:name="_Toc171349592"/>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67A904CD">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1CDB4BB3">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0C0799F5">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77CE9CB">
            <w:pPr>
              <w:adjustRightInd w:val="0"/>
              <w:snapToGrid w:val="0"/>
              <w:spacing w:line="240" w:lineRule="exact"/>
              <w:jc w:val="center"/>
              <w:outlineLvl w:val="0"/>
              <w:rPr>
                <w:rFonts w:hint="eastAsia" w:ascii="宋体" w:hAnsi="宋体"/>
                <w:sz w:val="24"/>
                <w:szCs w:val="24"/>
              </w:rPr>
            </w:pPr>
          </w:p>
        </w:tc>
      </w:tr>
    </w:tbl>
    <w:p w14:paraId="4A92BA3B">
      <w:pPr>
        <w:adjustRightInd w:val="0"/>
        <w:snapToGrid w:val="0"/>
        <w:spacing w:line="460" w:lineRule="exact"/>
        <w:rPr>
          <w:rFonts w:hint="eastAsia" w:ascii="宋体" w:hAnsi="宋体"/>
          <w:sz w:val="24"/>
        </w:rPr>
      </w:pPr>
      <w:r>
        <w:rPr>
          <w:rFonts w:hint="eastAsia" w:ascii="宋体" w:hAnsi="宋体"/>
          <w:sz w:val="24"/>
        </w:rPr>
        <w:t>说明：</w:t>
      </w:r>
    </w:p>
    <w:p w14:paraId="2E1BB0DD">
      <w:pPr>
        <w:adjustRightInd w:val="0"/>
        <w:snapToGrid w:val="0"/>
        <w:spacing w:line="460" w:lineRule="exact"/>
        <w:rPr>
          <w:rFonts w:hint="eastAsia"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9D6A4A2">
      <w:pPr>
        <w:spacing w:line="400" w:lineRule="exact"/>
        <w:jc w:val="left"/>
        <w:rPr>
          <w:rFonts w:hint="eastAsia"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75741935">
      <w:pPr>
        <w:spacing w:line="400" w:lineRule="exact"/>
        <w:ind w:firstLine="511" w:firstLineChars="213"/>
        <w:jc w:val="left"/>
        <w:rPr>
          <w:rFonts w:hint="eastAsia"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1729D63C">
      <w:pPr>
        <w:pStyle w:val="5"/>
        <w:ind w:right="964" w:firstLine="6944" w:firstLineChars="2882"/>
        <w:rPr>
          <w:rFonts w:hint="eastAsia" w:ascii="宋体" w:hAnsi="宋体" w:cs="宋体"/>
          <w:b/>
          <w:sz w:val="24"/>
          <w:szCs w:val="24"/>
        </w:rPr>
      </w:pPr>
      <w:r>
        <w:rPr>
          <w:rFonts w:hint="eastAsia" w:ascii="宋体" w:hAnsi="宋体" w:cs="宋体"/>
          <w:b/>
          <w:sz w:val="24"/>
          <w:szCs w:val="24"/>
        </w:rPr>
        <w:t xml:space="preserve">报价人（公章）：                           </w:t>
      </w:r>
    </w:p>
    <w:p w14:paraId="205DB34F">
      <w:pPr>
        <w:pStyle w:val="5"/>
        <w:ind w:right="241"/>
        <w:jc w:val="right"/>
        <w:rPr>
          <w:rFonts w:hint="eastAsia" w:ascii="宋体" w:hAnsi="宋体" w:cs="宋体"/>
          <w:b/>
          <w:sz w:val="24"/>
          <w:szCs w:val="24"/>
        </w:rPr>
      </w:pPr>
      <w:r>
        <w:rPr>
          <w:rFonts w:hint="eastAsia" w:ascii="宋体" w:hAnsi="宋体" w:cs="宋体"/>
          <w:b/>
          <w:sz w:val="24"/>
          <w:szCs w:val="24"/>
        </w:rPr>
        <w:t>法定代表人（负责人）或委托代理人签字:</w:t>
      </w:r>
    </w:p>
    <w:p w14:paraId="55E35725">
      <w:pPr>
        <w:pStyle w:val="5"/>
        <w:jc w:val="left"/>
        <w:rPr>
          <w:rFonts w:hint="eastAsia" w:ascii="宋体" w:hAnsi="宋体" w:cs="宋体"/>
          <w:b/>
          <w:sz w:val="24"/>
          <w:szCs w:val="24"/>
        </w:rPr>
      </w:pPr>
    </w:p>
    <w:p w14:paraId="704710AA">
      <w:pPr>
        <w:pStyle w:val="5"/>
        <w:jc w:val="left"/>
        <w:rPr>
          <w:b/>
          <w:color w:val="FF0000"/>
        </w:rPr>
      </w:pPr>
      <w:r>
        <w:rPr>
          <w:rFonts w:hint="eastAsia" w:ascii="宋体" w:hAnsi="宋体" w:cs="宋体"/>
          <w:b/>
          <w:sz w:val="24"/>
          <w:szCs w:val="24"/>
        </w:rPr>
        <w:t xml:space="preserve">      　　　　　　　　　　　　　                           日期：   年  月  日</w:t>
      </w: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sdtPr>
    <w:sdtContent>
      <w:p w14:paraId="53F26E25">
        <w:pPr>
          <w:pStyle w:val="9"/>
          <w:jc w:val="center"/>
        </w:pPr>
        <w:r>
          <w:fldChar w:fldCharType="begin"/>
        </w:r>
        <w:r>
          <w:instrText xml:space="preserve">PAGE   \* MERGEFORMAT</w:instrText>
        </w:r>
        <w:r>
          <w:fldChar w:fldCharType="separate"/>
        </w:r>
        <w:r>
          <w:rPr>
            <w:lang w:val="zh-CN"/>
          </w:rPr>
          <w:t>1</w:t>
        </w:r>
        <w:r>
          <w:fldChar w:fldCharType="end"/>
        </w:r>
      </w:p>
    </w:sdtContent>
  </w:sdt>
  <w:p w14:paraId="076F5C4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89EA27"/>
    <w:multiLevelType w:val="singleLevel"/>
    <w:tmpl w:val="E289EA27"/>
    <w:lvl w:ilvl="0" w:tentative="0">
      <w:start w:val="1"/>
      <w:numFmt w:val="decimal"/>
      <w:suff w:val="nothing"/>
      <w:lvlText w:val="（%1）"/>
      <w:lvlJc w:val="left"/>
    </w:lvl>
  </w:abstractNum>
  <w:abstractNum w:abstractNumId="1">
    <w:nsid w:val="053EDD27"/>
    <w:multiLevelType w:val="singleLevel"/>
    <w:tmpl w:val="053EDD27"/>
    <w:lvl w:ilvl="0" w:tentative="0">
      <w:start w:val="1"/>
      <w:numFmt w:val="chineseCounting"/>
      <w:suff w:val="nothing"/>
      <w:lvlText w:val="%1、"/>
      <w:lvlJc w:val="left"/>
      <w:rPr>
        <w:rFonts w:hint="eastAsia"/>
      </w:rPr>
    </w:lvl>
  </w:abstractNum>
  <w:abstractNum w:abstractNumId="2">
    <w:nsid w:val="0A46E091"/>
    <w:multiLevelType w:val="singleLevel"/>
    <w:tmpl w:val="0A46E091"/>
    <w:lvl w:ilvl="0" w:tentative="0">
      <w:start w:val="1"/>
      <w:numFmt w:val="chineseCounting"/>
      <w:suff w:val="nothing"/>
      <w:lvlText w:val="%1、"/>
      <w:lvlJc w:val="left"/>
      <w:rPr>
        <w:rFonts w:hint="eastAsia"/>
        <w:lang w:val="en-US"/>
      </w:rPr>
    </w:lvl>
  </w:abstractNum>
  <w:abstractNum w:abstractNumId="3">
    <w:nsid w:val="1519128E"/>
    <w:multiLevelType w:val="singleLevel"/>
    <w:tmpl w:val="1519128E"/>
    <w:lvl w:ilvl="0" w:tentative="0">
      <w:start w:val="7"/>
      <w:numFmt w:val="decimal"/>
      <w:lvlText w:val="%1."/>
      <w:lvlJc w:val="left"/>
      <w:pPr>
        <w:tabs>
          <w:tab w:val="left" w:pos="312"/>
        </w:tabs>
      </w:pPr>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3B3"/>
    <w:rsid w:val="00022656"/>
    <w:rsid w:val="0003370D"/>
    <w:rsid w:val="0005406C"/>
    <w:rsid w:val="00076E2A"/>
    <w:rsid w:val="00081873"/>
    <w:rsid w:val="000927C5"/>
    <w:rsid w:val="00094D15"/>
    <w:rsid w:val="000977F7"/>
    <w:rsid w:val="000A5546"/>
    <w:rsid w:val="000A7ABD"/>
    <w:rsid w:val="000B2802"/>
    <w:rsid w:val="000D0700"/>
    <w:rsid w:val="000D24F9"/>
    <w:rsid w:val="000D2C6F"/>
    <w:rsid w:val="000D5571"/>
    <w:rsid w:val="000E0EBC"/>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7C14"/>
    <w:rsid w:val="001A667A"/>
    <w:rsid w:val="001B2D59"/>
    <w:rsid w:val="001B52A8"/>
    <w:rsid w:val="001C5386"/>
    <w:rsid w:val="001C63F4"/>
    <w:rsid w:val="001E6CCD"/>
    <w:rsid w:val="001F2422"/>
    <w:rsid w:val="0021661A"/>
    <w:rsid w:val="00223384"/>
    <w:rsid w:val="0022534B"/>
    <w:rsid w:val="00226ABE"/>
    <w:rsid w:val="00236666"/>
    <w:rsid w:val="002501BB"/>
    <w:rsid w:val="0026302E"/>
    <w:rsid w:val="00271181"/>
    <w:rsid w:val="00280A55"/>
    <w:rsid w:val="00294C3C"/>
    <w:rsid w:val="002967ED"/>
    <w:rsid w:val="002A1C58"/>
    <w:rsid w:val="002C07BF"/>
    <w:rsid w:val="002C2751"/>
    <w:rsid w:val="002D7B38"/>
    <w:rsid w:val="002F2408"/>
    <w:rsid w:val="002F48F6"/>
    <w:rsid w:val="002F50CF"/>
    <w:rsid w:val="0030619C"/>
    <w:rsid w:val="0031078D"/>
    <w:rsid w:val="00311FE0"/>
    <w:rsid w:val="00315036"/>
    <w:rsid w:val="00316B59"/>
    <w:rsid w:val="00323077"/>
    <w:rsid w:val="003301DA"/>
    <w:rsid w:val="00355C5A"/>
    <w:rsid w:val="0036474E"/>
    <w:rsid w:val="00372E5C"/>
    <w:rsid w:val="00387709"/>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E038B"/>
    <w:rsid w:val="005023DE"/>
    <w:rsid w:val="00511C16"/>
    <w:rsid w:val="00514420"/>
    <w:rsid w:val="00520AF4"/>
    <w:rsid w:val="00524F9C"/>
    <w:rsid w:val="005257F6"/>
    <w:rsid w:val="00533183"/>
    <w:rsid w:val="00533262"/>
    <w:rsid w:val="005332BE"/>
    <w:rsid w:val="00544186"/>
    <w:rsid w:val="00562452"/>
    <w:rsid w:val="00572110"/>
    <w:rsid w:val="005726E0"/>
    <w:rsid w:val="005734B0"/>
    <w:rsid w:val="00585294"/>
    <w:rsid w:val="005A33D4"/>
    <w:rsid w:val="005A6583"/>
    <w:rsid w:val="005D5BA1"/>
    <w:rsid w:val="005E2826"/>
    <w:rsid w:val="005F2B63"/>
    <w:rsid w:val="00603AD8"/>
    <w:rsid w:val="0061569C"/>
    <w:rsid w:val="00632383"/>
    <w:rsid w:val="006342AC"/>
    <w:rsid w:val="0064202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5F5"/>
    <w:rsid w:val="00847D62"/>
    <w:rsid w:val="00853AB3"/>
    <w:rsid w:val="00853CB4"/>
    <w:rsid w:val="00874053"/>
    <w:rsid w:val="00876773"/>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54800"/>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740B"/>
    <w:rsid w:val="00BF0338"/>
    <w:rsid w:val="00C00E88"/>
    <w:rsid w:val="00C00F3B"/>
    <w:rsid w:val="00C1072F"/>
    <w:rsid w:val="00C20D15"/>
    <w:rsid w:val="00C372E4"/>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03567"/>
    <w:rsid w:val="00F23A55"/>
    <w:rsid w:val="00F23D78"/>
    <w:rsid w:val="00F23DEE"/>
    <w:rsid w:val="00F36AF2"/>
    <w:rsid w:val="00F41894"/>
    <w:rsid w:val="00F430D8"/>
    <w:rsid w:val="00F45965"/>
    <w:rsid w:val="00F5231C"/>
    <w:rsid w:val="00F529C6"/>
    <w:rsid w:val="00F534CB"/>
    <w:rsid w:val="00F5604C"/>
    <w:rsid w:val="00F73137"/>
    <w:rsid w:val="00F73145"/>
    <w:rsid w:val="00F75191"/>
    <w:rsid w:val="00F80DDD"/>
    <w:rsid w:val="00F82047"/>
    <w:rsid w:val="00F85CDE"/>
    <w:rsid w:val="00F85E9A"/>
    <w:rsid w:val="00F86FB3"/>
    <w:rsid w:val="00F90A34"/>
    <w:rsid w:val="00FC68B0"/>
    <w:rsid w:val="00FD1B72"/>
    <w:rsid w:val="00FE0481"/>
    <w:rsid w:val="01B32C3A"/>
    <w:rsid w:val="01F35931"/>
    <w:rsid w:val="037F2773"/>
    <w:rsid w:val="06846916"/>
    <w:rsid w:val="06C40151"/>
    <w:rsid w:val="08B9450E"/>
    <w:rsid w:val="0C16644C"/>
    <w:rsid w:val="0C8A7403"/>
    <w:rsid w:val="0FB37347"/>
    <w:rsid w:val="107306F5"/>
    <w:rsid w:val="11DC22F8"/>
    <w:rsid w:val="120B7BE2"/>
    <w:rsid w:val="1302311F"/>
    <w:rsid w:val="132D27DF"/>
    <w:rsid w:val="141A488D"/>
    <w:rsid w:val="147211D0"/>
    <w:rsid w:val="148759AD"/>
    <w:rsid w:val="149253FF"/>
    <w:rsid w:val="17CC70FE"/>
    <w:rsid w:val="184743D9"/>
    <w:rsid w:val="187B4AB8"/>
    <w:rsid w:val="1DDA151B"/>
    <w:rsid w:val="1F5F475E"/>
    <w:rsid w:val="23DC4E4B"/>
    <w:rsid w:val="25C93DBB"/>
    <w:rsid w:val="27676DAE"/>
    <w:rsid w:val="27AA7668"/>
    <w:rsid w:val="28DF530A"/>
    <w:rsid w:val="292F766C"/>
    <w:rsid w:val="29790ABB"/>
    <w:rsid w:val="2D096B30"/>
    <w:rsid w:val="2F5C246D"/>
    <w:rsid w:val="32701F68"/>
    <w:rsid w:val="33B20B2C"/>
    <w:rsid w:val="34904C1F"/>
    <w:rsid w:val="35686C87"/>
    <w:rsid w:val="35975332"/>
    <w:rsid w:val="364A5795"/>
    <w:rsid w:val="36E21052"/>
    <w:rsid w:val="388127A4"/>
    <w:rsid w:val="3A4A0C98"/>
    <w:rsid w:val="3B82520A"/>
    <w:rsid w:val="3E16093B"/>
    <w:rsid w:val="40014ABD"/>
    <w:rsid w:val="417479B3"/>
    <w:rsid w:val="42283A73"/>
    <w:rsid w:val="42B81890"/>
    <w:rsid w:val="43946EA8"/>
    <w:rsid w:val="44B80AE3"/>
    <w:rsid w:val="45952BD1"/>
    <w:rsid w:val="45A81449"/>
    <w:rsid w:val="46995568"/>
    <w:rsid w:val="47EC741F"/>
    <w:rsid w:val="48E11081"/>
    <w:rsid w:val="49B41204"/>
    <w:rsid w:val="4DDA478A"/>
    <w:rsid w:val="4E342699"/>
    <w:rsid w:val="4E3C51A6"/>
    <w:rsid w:val="4E86406E"/>
    <w:rsid w:val="4EA57F5B"/>
    <w:rsid w:val="4F475660"/>
    <w:rsid w:val="4F91042F"/>
    <w:rsid w:val="4FA77CEC"/>
    <w:rsid w:val="4FDD51EF"/>
    <w:rsid w:val="520B6B20"/>
    <w:rsid w:val="5265319E"/>
    <w:rsid w:val="534B409A"/>
    <w:rsid w:val="54A6047C"/>
    <w:rsid w:val="555D099C"/>
    <w:rsid w:val="56BC619E"/>
    <w:rsid w:val="575F02D9"/>
    <w:rsid w:val="5922789C"/>
    <w:rsid w:val="5A0C5980"/>
    <w:rsid w:val="5A4073D2"/>
    <w:rsid w:val="5D2748E5"/>
    <w:rsid w:val="5EEF528C"/>
    <w:rsid w:val="5FAC7A2F"/>
    <w:rsid w:val="613C578C"/>
    <w:rsid w:val="620773F6"/>
    <w:rsid w:val="621253EA"/>
    <w:rsid w:val="62B17A6B"/>
    <w:rsid w:val="62BA202E"/>
    <w:rsid w:val="635737F1"/>
    <w:rsid w:val="650218B4"/>
    <w:rsid w:val="6595274A"/>
    <w:rsid w:val="68243590"/>
    <w:rsid w:val="68D311F0"/>
    <w:rsid w:val="6A5E571A"/>
    <w:rsid w:val="6A8B4998"/>
    <w:rsid w:val="6D921163"/>
    <w:rsid w:val="6EB16BDF"/>
    <w:rsid w:val="6F16174A"/>
    <w:rsid w:val="6FB94E90"/>
    <w:rsid w:val="70FB14A4"/>
    <w:rsid w:val="74304FCC"/>
    <w:rsid w:val="75023CF6"/>
    <w:rsid w:val="77D61299"/>
    <w:rsid w:val="795D134B"/>
    <w:rsid w:val="7AD14C6A"/>
    <w:rsid w:val="7B721238"/>
    <w:rsid w:val="7C8E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31"/>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ind w:firstLine="420"/>
    </w:pPr>
    <w:rPr>
      <w:kern w:val="0"/>
      <w:sz w:val="20"/>
      <w:szCs w:val="20"/>
    </w:rPr>
  </w:style>
  <w:style w:type="paragraph" w:styleId="4">
    <w:name w:val="annotation text"/>
    <w:basedOn w:val="1"/>
    <w:link w:val="28"/>
    <w:semiHidden/>
    <w:unhideWhenUsed/>
    <w:qFormat/>
    <w:uiPriority w:val="99"/>
    <w:pPr>
      <w:jc w:val="left"/>
    </w:pPr>
  </w:style>
  <w:style w:type="paragraph" w:styleId="5">
    <w:name w:val="Body Text"/>
    <w:basedOn w:val="1"/>
    <w:link w:val="30"/>
    <w:unhideWhenUsed/>
    <w:qFormat/>
    <w:uiPriority w:val="99"/>
    <w:pPr>
      <w:spacing w:after="120"/>
    </w:pPr>
  </w:style>
  <w:style w:type="paragraph" w:styleId="6">
    <w:name w:val="Plain Text"/>
    <w:basedOn w:val="1"/>
    <w:next w:val="7"/>
    <w:link w:val="21"/>
    <w:unhideWhenUsed/>
    <w:qFormat/>
    <w:uiPriority w:val="0"/>
    <w:rPr>
      <w:rFonts w:ascii="宋体" w:hAnsi="Courier New"/>
    </w:rPr>
  </w:style>
  <w:style w:type="paragraph" w:styleId="7">
    <w:name w:val="Date"/>
    <w:basedOn w:val="1"/>
    <w:next w:val="1"/>
    <w:link w:val="22"/>
    <w:semiHidden/>
    <w:unhideWhenUsed/>
    <w:qFormat/>
    <w:uiPriority w:val="99"/>
    <w:pPr>
      <w:ind w:left="100" w:leftChars="2500"/>
    </w:pPr>
  </w:style>
  <w:style w:type="paragraph" w:styleId="8">
    <w:name w:val="Balloon Text"/>
    <w:basedOn w:val="1"/>
    <w:link w:val="20"/>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29"/>
    <w:semiHidden/>
    <w:unhideWhenUsed/>
    <w:qFormat/>
    <w:uiPriority w:val="99"/>
    <w:rPr>
      <w:b/>
      <w:bCs/>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Hyperlink"/>
    <w:basedOn w:val="14"/>
    <w:semiHidden/>
    <w:unhideWhenUsed/>
    <w:qFormat/>
    <w:uiPriority w:val="99"/>
    <w:rPr>
      <w:color w:val="0000FF"/>
      <w:u w:val="single"/>
    </w:rPr>
  </w:style>
  <w:style w:type="character" w:styleId="16">
    <w:name w:val="annotation reference"/>
    <w:basedOn w:val="14"/>
    <w:unhideWhenUsed/>
    <w:qFormat/>
    <w:uiPriority w:val="99"/>
    <w:rPr>
      <w:sz w:val="21"/>
      <w:szCs w:val="21"/>
    </w:r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8">
    <w:name w:val="页眉 字符"/>
    <w:basedOn w:val="14"/>
    <w:link w:val="10"/>
    <w:qFormat/>
    <w:uiPriority w:val="99"/>
    <w:rPr>
      <w:sz w:val="18"/>
      <w:szCs w:val="18"/>
    </w:rPr>
  </w:style>
  <w:style w:type="character" w:customStyle="1" w:styleId="19">
    <w:name w:val="页脚 字符"/>
    <w:basedOn w:val="14"/>
    <w:link w:val="9"/>
    <w:qFormat/>
    <w:uiPriority w:val="99"/>
    <w:rPr>
      <w:sz w:val="18"/>
      <w:szCs w:val="18"/>
    </w:rPr>
  </w:style>
  <w:style w:type="character" w:customStyle="1" w:styleId="20">
    <w:name w:val="批注框文本 字符"/>
    <w:basedOn w:val="14"/>
    <w:link w:val="8"/>
    <w:semiHidden/>
    <w:qFormat/>
    <w:uiPriority w:val="99"/>
    <w:rPr>
      <w:sz w:val="18"/>
      <w:szCs w:val="18"/>
    </w:rPr>
  </w:style>
  <w:style w:type="character" w:customStyle="1" w:styleId="21">
    <w:name w:val="纯文本 字符"/>
    <w:basedOn w:val="14"/>
    <w:link w:val="6"/>
    <w:qFormat/>
    <w:uiPriority w:val="0"/>
    <w:rPr>
      <w:rFonts w:ascii="宋体" w:hAnsi="Courier New"/>
      <w:kern w:val="2"/>
      <w:sz w:val="21"/>
      <w:szCs w:val="22"/>
    </w:rPr>
  </w:style>
  <w:style w:type="character" w:customStyle="1" w:styleId="22">
    <w:name w:val="日期 字符"/>
    <w:basedOn w:val="14"/>
    <w:link w:val="7"/>
    <w:semiHidden/>
    <w:qFormat/>
    <w:uiPriority w:val="99"/>
    <w:rPr>
      <w:kern w:val="2"/>
      <w:sz w:val="21"/>
      <w:szCs w:val="22"/>
    </w:rPr>
  </w:style>
  <w:style w:type="character" w:customStyle="1" w:styleId="23">
    <w:name w:val="font21"/>
    <w:basedOn w:val="14"/>
    <w:qFormat/>
    <w:uiPriority w:val="0"/>
    <w:rPr>
      <w:rFonts w:ascii="Calibri" w:hAnsi="Calibri" w:cs="Calibri"/>
      <w:color w:val="000000"/>
      <w:sz w:val="22"/>
      <w:szCs w:val="22"/>
      <w:u w:val="none"/>
    </w:rPr>
  </w:style>
  <w:style w:type="character" w:customStyle="1" w:styleId="24">
    <w:name w:val="font41"/>
    <w:basedOn w:val="14"/>
    <w:qFormat/>
    <w:uiPriority w:val="0"/>
    <w:rPr>
      <w:rFonts w:hint="eastAsia" w:ascii="宋体" w:hAnsi="宋体" w:eastAsia="宋体" w:cs="宋体"/>
      <w:color w:val="000000"/>
      <w:sz w:val="22"/>
      <w:szCs w:val="22"/>
      <w:u w:val="none"/>
    </w:rPr>
  </w:style>
  <w:style w:type="character" w:customStyle="1" w:styleId="25">
    <w:name w:val="font11"/>
    <w:basedOn w:val="14"/>
    <w:qFormat/>
    <w:uiPriority w:val="0"/>
    <w:rPr>
      <w:rFonts w:hint="default" w:ascii="Calibri" w:hAnsi="Calibri" w:cs="Calibri"/>
      <w:color w:val="000000"/>
      <w:sz w:val="22"/>
      <w:szCs w:val="22"/>
      <w:u w:val="none"/>
    </w:rPr>
  </w:style>
  <w:style w:type="character" w:customStyle="1" w:styleId="26">
    <w:name w:val="font01"/>
    <w:basedOn w:val="14"/>
    <w:qFormat/>
    <w:uiPriority w:val="0"/>
    <w:rPr>
      <w:rFonts w:hint="default" w:ascii="Calibri" w:hAnsi="Calibri" w:cs="Calibri"/>
      <w:color w:val="000000"/>
      <w:sz w:val="22"/>
      <w:szCs w:val="22"/>
      <w:u w:val="none"/>
    </w:rPr>
  </w:style>
  <w:style w:type="character" w:customStyle="1" w:styleId="27">
    <w:name w:val="font31"/>
    <w:basedOn w:val="14"/>
    <w:qFormat/>
    <w:uiPriority w:val="0"/>
    <w:rPr>
      <w:rFonts w:hint="eastAsia" w:ascii="宋体" w:hAnsi="宋体" w:eastAsia="宋体" w:cs="宋体"/>
      <w:color w:val="000000"/>
      <w:sz w:val="22"/>
      <w:szCs w:val="22"/>
      <w:u w:val="none"/>
    </w:rPr>
  </w:style>
  <w:style w:type="character" w:customStyle="1" w:styleId="28">
    <w:name w:val="批注文字 字符"/>
    <w:basedOn w:val="14"/>
    <w:link w:val="4"/>
    <w:semiHidden/>
    <w:qFormat/>
    <w:uiPriority w:val="99"/>
    <w:rPr>
      <w:rFonts w:asciiTheme="minorHAnsi" w:hAnsiTheme="minorHAnsi" w:eastAsiaTheme="minorEastAsia" w:cstheme="minorBidi"/>
      <w:kern w:val="2"/>
      <w:sz w:val="21"/>
      <w:szCs w:val="22"/>
    </w:rPr>
  </w:style>
  <w:style w:type="character" w:customStyle="1" w:styleId="29">
    <w:name w:val="批注主题 字符"/>
    <w:basedOn w:val="28"/>
    <w:link w:val="11"/>
    <w:semiHidden/>
    <w:qFormat/>
    <w:uiPriority w:val="99"/>
    <w:rPr>
      <w:rFonts w:asciiTheme="minorHAnsi" w:hAnsiTheme="minorHAnsi" w:eastAsiaTheme="minorEastAsia" w:cstheme="minorBidi"/>
      <w:b/>
      <w:bCs/>
      <w:kern w:val="2"/>
      <w:sz w:val="21"/>
      <w:szCs w:val="22"/>
    </w:rPr>
  </w:style>
  <w:style w:type="character" w:customStyle="1" w:styleId="30">
    <w:name w:val="正文文本 字符"/>
    <w:basedOn w:val="14"/>
    <w:link w:val="5"/>
    <w:qFormat/>
    <w:uiPriority w:val="99"/>
    <w:rPr>
      <w:kern w:val="2"/>
      <w:sz w:val="21"/>
      <w:szCs w:val="22"/>
    </w:rPr>
  </w:style>
  <w:style w:type="character" w:customStyle="1" w:styleId="31">
    <w:name w:val="标题 3 字符"/>
    <w:basedOn w:val="14"/>
    <w:link w:val="2"/>
    <w:qFormat/>
    <w:uiPriority w:val="0"/>
    <w:rPr>
      <w:rFonts w:ascii="Times New Roman" w:hAnsi="Times New Roman" w:eastAsia="宋体" w:cs="Times New Roman"/>
      <w:b/>
      <w:bCs/>
      <w:kern w:val="2"/>
      <w:sz w:val="32"/>
      <w:szCs w:val="32"/>
    </w:rPr>
  </w:style>
  <w:style w:type="character" w:customStyle="1" w:styleId="32">
    <w:name w:val="纯文本 Char1"/>
    <w:qFormat/>
    <w:uiPriority w:val="0"/>
    <w:rPr>
      <w:rFonts w:ascii="宋体" w:hAnsi="Courier New"/>
      <w:szCs w:val="21"/>
    </w:rPr>
  </w:style>
  <w:style w:type="paragraph" w:customStyle="1" w:styleId="33">
    <w:name w:val="标题2"/>
    <w:basedOn w:val="1"/>
    <w:next w:val="1"/>
    <w:qFormat/>
    <w:uiPriority w:val="0"/>
    <w:pPr>
      <w:outlineLvl w:val="1"/>
    </w:pPr>
    <w:rPr>
      <w:b/>
    </w:rPr>
  </w:style>
  <w:style w:type="paragraph" w:customStyle="1" w:styleId="34">
    <w:name w:val="标题3（文件格式）"/>
    <w:basedOn w:val="1"/>
    <w:next w:val="1"/>
    <w:qFormat/>
    <w:uiPriority w:val="0"/>
    <w:pPr>
      <w:spacing w:line="480" w:lineRule="exact"/>
      <w:outlineLvl w:val="2"/>
    </w:pPr>
    <w:rPr>
      <w:rFonts w:hAnsi="宋体"/>
      <w:b/>
      <w:color w:val="000000"/>
      <w:sz w:val="30"/>
      <w:szCs w:val="44"/>
    </w:rPr>
  </w:style>
  <w:style w:type="paragraph" w:customStyle="1" w:styleId="35">
    <w:name w:val="Table Text"/>
    <w:basedOn w:val="1"/>
    <w:semiHidden/>
    <w:qFormat/>
    <w:uiPriority w:val="0"/>
    <w:rPr>
      <w:rFonts w:ascii="宋体" w:hAnsi="宋体" w:eastAsia="宋体" w:cs="宋体"/>
      <w:szCs w:val="21"/>
      <w:lang w:eastAsia="en-US"/>
    </w:rPr>
  </w:style>
  <w:style w:type="table" w:customStyle="1" w:styleId="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17</Pages>
  <Words>7626</Words>
  <Characters>7897</Characters>
  <Lines>348</Lines>
  <Paragraphs>282</Paragraphs>
  <TotalTime>3</TotalTime>
  <ScaleCrop>false</ScaleCrop>
  <LinksUpToDate>false</LinksUpToDate>
  <CharactersWithSpaces>9151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2015-12-16T03:11:00Z</dcterms:created>
  <dc:creator>dreamsummit</dc:creator>
  <cp:lastModifiedBy> RONG</cp:lastModifiedBy>
  <cp:lastPrinted>2021-06-16T00:28:00Z</cp:lastPrinted>
  <dcterms:modified xsi:type="dcterms:W3CDTF">2026-09-04T00:55:48Z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AEE702499B4B48A38E770AE900CB26C3</vt:lpwstr>
  </property>
  <property fmtid="{D5CDD505-2E9C-101B-9397-08002B2CF9AE}" pid="4" name="KSOTemplateDocerSaveRecord">
    <vt:lpwstr>eyJoZGlkIjoiMDQ0ZTdmOTFlZjc0OWU0NDhmMzA1YTM2NmI5MDg1MzIiLCJ1c2VySWQiOiI0MDk0NTEyMTIifQ==</vt:lpwstr>
  </property>
</Properties>
</file>