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3B7674">
      <w:pPr>
        <w:pStyle w:val="3"/>
        <w:tabs>
          <w:tab w:val="left" w:pos="0"/>
        </w:tabs>
        <w:wordWrap w:val="0"/>
        <w:autoSpaceDE w:val="0"/>
        <w:autoSpaceDN w:val="0"/>
        <w:adjustRightInd w:val="0"/>
        <w:spacing w:before="0" w:after="0" w:line="500" w:lineRule="exact"/>
        <w:jc w:val="center"/>
        <w:rPr>
          <w:rFonts w:asciiTheme="minorEastAsia" w:hAnsiTheme="minorEastAsia" w:eastAsiaTheme="minorEastAsia"/>
          <w:color w:val="000000" w:themeColor="text1"/>
          <w:spacing w:val="-2"/>
          <w:sz w:val="32"/>
          <w:szCs w:val="32"/>
        </w:rPr>
      </w:pPr>
      <w:bookmarkStart w:id="0" w:name="_Toc28359022"/>
      <w:bookmarkStart w:id="1" w:name="_Toc35393809"/>
      <w:r>
        <w:rPr>
          <w:rFonts w:hint="eastAsia" w:asciiTheme="minorEastAsia" w:hAnsiTheme="minorEastAsia" w:eastAsiaTheme="minorEastAsia"/>
          <w:color w:val="000000" w:themeColor="text1"/>
          <w:spacing w:val="-2"/>
          <w:sz w:val="32"/>
          <w:szCs w:val="32"/>
        </w:rPr>
        <w:t>广西大德项目管理有限公司关于柳州职业技术大学2026年新生宿舍翻新工程采购（LZZC2026-J2-990444-GXDD）</w:t>
      </w:r>
      <w:r>
        <w:rPr>
          <w:rFonts w:hint="eastAsia" w:asciiTheme="minorEastAsia" w:hAnsiTheme="minorEastAsia" w:eastAsiaTheme="minorEastAsia"/>
          <w:color w:val="000000" w:themeColor="text1"/>
          <w:sz w:val="32"/>
          <w:szCs w:val="32"/>
        </w:rPr>
        <w:t>成交结果公告</w:t>
      </w:r>
      <w:bookmarkEnd w:id="0"/>
      <w:bookmarkEnd w:id="1"/>
    </w:p>
    <w:p w14:paraId="6F487F5A">
      <w:pPr>
        <w:rPr>
          <w:rFonts w:asciiTheme="minorEastAsia" w:hAnsiTheme="minorEastAsia" w:eastAsiaTheme="minorEastAsia"/>
          <w:color w:val="000000" w:themeColor="text1"/>
        </w:rPr>
      </w:pPr>
    </w:p>
    <w:p w14:paraId="5D447313">
      <w:pPr>
        <w:keepNext w:val="0"/>
        <w:keepLines w:val="0"/>
        <w:pageBreakBefore w:val="0"/>
        <w:widowControl/>
        <w:kinsoku/>
        <w:overflowPunct/>
        <w:topLinePunct w:val="0"/>
        <w:autoSpaceDE/>
        <w:autoSpaceDN/>
        <w:bidi w:val="0"/>
        <w:adjustRightInd/>
        <w:snapToGrid/>
        <w:spacing w:line="360" w:lineRule="auto"/>
        <w:jc w:val="left"/>
        <w:textAlignment w:val="auto"/>
        <w:rPr>
          <w:rFonts w:ascii="宋体" w:hAnsi="宋体"/>
          <w:b/>
          <w:color w:val="000000" w:themeColor="text1"/>
          <w:sz w:val="24"/>
          <w:szCs w:val="24"/>
        </w:rPr>
      </w:pPr>
      <w:r>
        <w:rPr>
          <w:rFonts w:hint="eastAsia" w:ascii="宋体" w:hAnsi="宋体"/>
          <w:b/>
          <w:color w:val="000000" w:themeColor="text1"/>
          <w:sz w:val="24"/>
          <w:szCs w:val="24"/>
        </w:rPr>
        <w:t>一、项目编号：</w:t>
      </w:r>
      <w:r>
        <w:rPr>
          <w:rFonts w:hint="eastAsia" w:ascii="宋体" w:hAnsi="宋体"/>
          <w:b w:val="0"/>
          <w:bCs/>
          <w:color w:val="000000" w:themeColor="text1"/>
          <w:sz w:val="24"/>
          <w:szCs w:val="24"/>
        </w:rPr>
        <w:t>LZZC2026-J2-990444-GXDD</w:t>
      </w:r>
    </w:p>
    <w:p w14:paraId="3AA78B2B">
      <w:pPr>
        <w:keepNext w:val="0"/>
        <w:keepLines w:val="0"/>
        <w:pageBreakBefore w:val="0"/>
        <w:widowControl/>
        <w:kinsoku/>
        <w:overflowPunct/>
        <w:topLinePunct w:val="0"/>
        <w:autoSpaceDE/>
        <w:autoSpaceDN/>
        <w:bidi w:val="0"/>
        <w:adjustRightInd/>
        <w:snapToGrid/>
        <w:spacing w:line="360" w:lineRule="auto"/>
        <w:textAlignment w:val="auto"/>
        <w:rPr>
          <w:rFonts w:ascii="宋体" w:hAnsi="宋体"/>
          <w:b w:val="0"/>
          <w:bCs/>
          <w:color w:val="000000" w:themeColor="text1"/>
          <w:sz w:val="24"/>
          <w:szCs w:val="24"/>
        </w:rPr>
      </w:pPr>
      <w:r>
        <w:rPr>
          <w:rFonts w:hint="eastAsia" w:ascii="宋体" w:hAnsi="宋体"/>
          <w:b/>
          <w:color w:val="000000" w:themeColor="text1"/>
          <w:sz w:val="24"/>
          <w:szCs w:val="24"/>
        </w:rPr>
        <w:t>二、项目名称：</w:t>
      </w:r>
      <w:r>
        <w:rPr>
          <w:rFonts w:hint="eastAsia" w:ascii="宋体" w:hAnsi="宋体"/>
          <w:b w:val="0"/>
          <w:bCs/>
          <w:color w:val="000000" w:themeColor="text1"/>
          <w:sz w:val="24"/>
          <w:szCs w:val="24"/>
        </w:rPr>
        <w:t>柳州职业技术大学2026年新生宿舍翻新工程采购</w:t>
      </w:r>
    </w:p>
    <w:p w14:paraId="2614D46B">
      <w:pPr>
        <w:keepNext w:val="0"/>
        <w:keepLines w:val="0"/>
        <w:pageBreakBefore w:val="0"/>
        <w:widowControl/>
        <w:kinsoku/>
        <w:overflowPunct/>
        <w:topLinePunct w:val="0"/>
        <w:autoSpaceDE/>
        <w:autoSpaceDN/>
        <w:bidi w:val="0"/>
        <w:adjustRightInd/>
        <w:snapToGrid/>
        <w:spacing w:line="360" w:lineRule="auto"/>
        <w:jc w:val="left"/>
        <w:textAlignment w:val="auto"/>
        <w:rPr>
          <w:rFonts w:ascii="宋体" w:hAnsi="宋体"/>
          <w:b/>
          <w:color w:val="000000" w:themeColor="text1"/>
          <w:sz w:val="24"/>
          <w:szCs w:val="24"/>
        </w:rPr>
      </w:pPr>
      <w:r>
        <w:rPr>
          <w:rFonts w:hint="eastAsia" w:ascii="宋体" w:hAnsi="宋体"/>
          <w:b/>
          <w:color w:val="000000" w:themeColor="text1"/>
          <w:sz w:val="24"/>
          <w:szCs w:val="24"/>
        </w:rPr>
        <w:t>三、中标（成交）信息</w:t>
      </w:r>
    </w:p>
    <w:p w14:paraId="57575D3C">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cs="宋体"/>
          <w:color w:val="000000"/>
          <w:kern w:val="0"/>
          <w:sz w:val="27"/>
          <w:szCs w:val="27"/>
        </w:rPr>
      </w:pPr>
      <w:r>
        <w:rPr>
          <w:rFonts w:ascii="宋体" w:hAnsi="宋体"/>
          <w:color w:val="000000"/>
          <w:sz w:val="24"/>
          <w:szCs w:val="24"/>
        </w:rPr>
        <w:t>1.中标结果：</w:t>
      </w:r>
    </w:p>
    <w:tbl>
      <w:tblPr>
        <w:tblStyle w:val="10"/>
        <w:tblW w:w="10065" w:type="dxa"/>
        <w:tblInd w:w="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82"/>
        <w:gridCol w:w="2847"/>
        <w:gridCol w:w="2764"/>
        <w:gridCol w:w="3572"/>
      </w:tblGrid>
      <w:tr w14:paraId="371D0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882" w:type="dxa"/>
            <w:shd w:val="clear" w:color="auto" w:fill="FFFFFF"/>
            <w:tcMar>
              <w:top w:w="75" w:type="dxa"/>
              <w:left w:w="150" w:type="dxa"/>
              <w:bottom w:w="75" w:type="dxa"/>
              <w:right w:w="150" w:type="dxa"/>
            </w:tcMar>
            <w:vAlign w:val="center"/>
          </w:tcPr>
          <w:p w14:paraId="0B8DE899">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ascii="宋体" w:hAnsi="宋体" w:cs="宋体"/>
                <w:b/>
                <w:bCs/>
                <w:kern w:val="0"/>
                <w:sz w:val="24"/>
                <w:szCs w:val="24"/>
              </w:rPr>
            </w:pPr>
            <w:r>
              <w:rPr>
                <w:rFonts w:hint="eastAsia" w:ascii="宋体" w:hAnsi="宋体" w:cs="宋体"/>
                <w:b/>
                <w:bCs/>
                <w:kern w:val="0"/>
                <w:sz w:val="24"/>
                <w:szCs w:val="24"/>
              </w:rPr>
              <w:t>序</w:t>
            </w:r>
            <w:r>
              <w:rPr>
                <w:rFonts w:ascii="宋体" w:hAnsi="宋体" w:cs="宋体"/>
                <w:b/>
                <w:bCs/>
                <w:kern w:val="0"/>
                <w:sz w:val="24"/>
                <w:szCs w:val="24"/>
              </w:rPr>
              <w:t>号</w:t>
            </w:r>
          </w:p>
        </w:tc>
        <w:tc>
          <w:tcPr>
            <w:tcW w:w="2847" w:type="dxa"/>
            <w:shd w:val="clear" w:color="auto" w:fill="FFFFFF"/>
            <w:tcMar>
              <w:top w:w="75" w:type="dxa"/>
              <w:left w:w="150" w:type="dxa"/>
              <w:bottom w:w="75" w:type="dxa"/>
              <w:right w:w="150" w:type="dxa"/>
            </w:tcMar>
            <w:vAlign w:val="center"/>
          </w:tcPr>
          <w:p w14:paraId="7DB302C5">
            <w:pPr>
              <w:keepNext w:val="0"/>
              <w:keepLines w:val="0"/>
              <w:pageBreakBefore w:val="0"/>
              <w:widowControl/>
              <w:kinsoku/>
              <w:overflowPunct/>
              <w:topLinePunct w:val="0"/>
              <w:autoSpaceDE/>
              <w:autoSpaceDN/>
              <w:bidi w:val="0"/>
              <w:adjustRightInd/>
              <w:snapToGrid/>
              <w:spacing w:line="360" w:lineRule="auto"/>
              <w:jc w:val="center"/>
              <w:textAlignment w:val="auto"/>
              <w:rPr>
                <w:rFonts w:ascii="宋体" w:hAnsi="宋体" w:cs="宋体"/>
                <w:b/>
                <w:bCs/>
                <w:kern w:val="0"/>
                <w:sz w:val="24"/>
                <w:szCs w:val="24"/>
              </w:rPr>
            </w:pPr>
            <w:r>
              <w:rPr>
                <w:rFonts w:ascii="宋体" w:hAnsi="宋体" w:cs="宋体"/>
                <w:b/>
                <w:bCs/>
                <w:kern w:val="0"/>
                <w:sz w:val="24"/>
                <w:szCs w:val="24"/>
              </w:rPr>
              <w:t>中标（成交）金额(元)</w:t>
            </w:r>
          </w:p>
        </w:tc>
        <w:tc>
          <w:tcPr>
            <w:tcW w:w="2764" w:type="dxa"/>
            <w:shd w:val="clear" w:color="auto" w:fill="FFFFFF"/>
            <w:tcMar>
              <w:top w:w="75" w:type="dxa"/>
              <w:left w:w="150" w:type="dxa"/>
              <w:bottom w:w="75" w:type="dxa"/>
              <w:right w:w="150" w:type="dxa"/>
            </w:tcMar>
            <w:vAlign w:val="center"/>
          </w:tcPr>
          <w:p w14:paraId="2CB217DA">
            <w:pPr>
              <w:keepNext w:val="0"/>
              <w:keepLines w:val="0"/>
              <w:pageBreakBefore w:val="0"/>
              <w:widowControl/>
              <w:kinsoku/>
              <w:overflowPunct/>
              <w:topLinePunct w:val="0"/>
              <w:autoSpaceDE/>
              <w:autoSpaceDN/>
              <w:bidi w:val="0"/>
              <w:adjustRightInd/>
              <w:snapToGrid/>
              <w:spacing w:line="360" w:lineRule="auto"/>
              <w:jc w:val="center"/>
              <w:textAlignment w:val="auto"/>
              <w:rPr>
                <w:rFonts w:ascii="宋体" w:hAnsi="宋体" w:cs="宋体"/>
                <w:b/>
                <w:bCs/>
                <w:kern w:val="0"/>
                <w:sz w:val="24"/>
                <w:szCs w:val="24"/>
              </w:rPr>
            </w:pPr>
            <w:r>
              <w:rPr>
                <w:rFonts w:ascii="宋体" w:hAnsi="宋体" w:cs="宋体"/>
                <w:b/>
                <w:bCs/>
                <w:kern w:val="0"/>
                <w:sz w:val="24"/>
                <w:szCs w:val="24"/>
              </w:rPr>
              <w:t>中标供应商名称</w:t>
            </w:r>
          </w:p>
        </w:tc>
        <w:tc>
          <w:tcPr>
            <w:tcW w:w="3572" w:type="dxa"/>
            <w:shd w:val="clear" w:color="auto" w:fill="FFFFFF"/>
            <w:tcMar>
              <w:top w:w="75" w:type="dxa"/>
              <w:left w:w="150" w:type="dxa"/>
              <w:bottom w:w="75" w:type="dxa"/>
              <w:right w:w="150" w:type="dxa"/>
            </w:tcMar>
            <w:vAlign w:val="center"/>
          </w:tcPr>
          <w:p w14:paraId="4E0271F8">
            <w:pPr>
              <w:keepNext w:val="0"/>
              <w:keepLines w:val="0"/>
              <w:pageBreakBefore w:val="0"/>
              <w:widowControl/>
              <w:kinsoku/>
              <w:overflowPunct/>
              <w:topLinePunct w:val="0"/>
              <w:autoSpaceDE/>
              <w:autoSpaceDN/>
              <w:bidi w:val="0"/>
              <w:adjustRightInd/>
              <w:snapToGrid/>
              <w:spacing w:line="360" w:lineRule="auto"/>
              <w:jc w:val="center"/>
              <w:textAlignment w:val="auto"/>
              <w:rPr>
                <w:rFonts w:ascii="宋体" w:hAnsi="宋体" w:cs="宋体"/>
                <w:b/>
                <w:bCs/>
                <w:kern w:val="0"/>
                <w:sz w:val="24"/>
                <w:szCs w:val="24"/>
              </w:rPr>
            </w:pPr>
            <w:r>
              <w:rPr>
                <w:rFonts w:ascii="宋体" w:hAnsi="宋体" w:cs="宋体"/>
                <w:b/>
                <w:bCs/>
                <w:kern w:val="0"/>
                <w:sz w:val="24"/>
                <w:szCs w:val="24"/>
              </w:rPr>
              <w:t>中标供应商地址</w:t>
            </w:r>
          </w:p>
        </w:tc>
      </w:tr>
      <w:tr w14:paraId="1519F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3" w:hRule="atLeast"/>
        </w:trPr>
        <w:tc>
          <w:tcPr>
            <w:tcW w:w="882" w:type="dxa"/>
            <w:tcMar>
              <w:top w:w="75" w:type="dxa"/>
              <w:left w:w="150" w:type="dxa"/>
              <w:bottom w:w="75" w:type="dxa"/>
              <w:right w:w="150" w:type="dxa"/>
            </w:tcMar>
            <w:vAlign w:val="center"/>
          </w:tcPr>
          <w:p w14:paraId="660C308A">
            <w:pPr>
              <w:keepNext w:val="0"/>
              <w:keepLines w:val="0"/>
              <w:pageBreakBefore w:val="0"/>
              <w:widowControl/>
              <w:kinsoku/>
              <w:overflowPunct/>
              <w:topLinePunct w:val="0"/>
              <w:autoSpaceDE/>
              <w:autoSpaceDN/>
              <w:bidi w:val="0"/>
              <w:adjustRightInd/>
              <w:snapToGrid/>
              <w:spacing w:line="360" w:lineRule="auto"/>
              <w:jc w:val="center"/>
              <w:textAlignment w:val="auto"/>
              <w:rPr>
                <w:rFonts w:ascii="宋体" w:hAnsi="宋体"/>
                <w:color w:val="000000"/>
                <w:sz w:val="24"/>
                <w:szCs w:val="24"/>
              </w:rPr>
            </w:pPr>
            <w:r>
              <w:rPr>
                <w:rFonts w:ascii="宋体" w:hAnsi="宋体"/>
                <w:color w:val="000000"/>
                <w:sz w:val="24"/>
                <w:szCs w:val="24"/>
              </w:rPr>
              <w:t>1</w:t>
            </w:r>
          </w:p>
        </w:tc>
        <w:tc>
          <w:tcPr>
            <w:tcW w:w="2847" w:type="dxa"/>
            <w:tcMar>
              <w:top w:w="75" w:type="dxa"/>
              <w:left w:w="150" w:type="dxa"/>
              <w:bottom w:w="75" w:type="dxa"/>
              <w:right w:w="150" w:type="dxa"/>
            </w:tcMar>
            <w:vAlign w:val="center"/>
          </w:tcPr>
          <w:p w14:paraId="39788901">
            <w:pPr>
              <w:keepNext w:val="0"/>
              <w:keepLines w:val="0"/>
              <w:pageBreakBefore w:val="0"/>
              <w:widowControl/>
              <w:kinsoku/>
              <w:overflowPunct/>
              <w:topLinePunct w:val="0"/>
              <w:autoSpaceDE/>
              <w:autoSpaceDN/>
              <w:bidi w:val="0"/>
              <w:adjustRightInd/>
              <w:snapToGrid/>
              <w:spacing w:line="360" w:lineRule="auto"/>
              <w:jc w:val="center"/>
              <w:textAlignment w:val="auto"/>
              <w:rPr>
                <w:rFonts w:ascii="宋体" w:hAnsi="宋体"/>
                <w:color w:val="000000"/>
                <w:sz w:val="24"/>
                <w:szCs w:val="24"/>
              </w:rPr>
            </w:pPr>
            <w:r>
              <w:rPr>
                <w:rFonts w:ascii="宋体" w:hAnsi="宋体"/>
                <w:color w:val="000000"/>
                <w:sz w:val="24"/>
                <w:szCs w:val="24"/>
              </w:rPr>
              <w:t>报价</w:t>
            </w:r>
            <w:r>
              <w:rPr>
                <w:rFonts w:hint="eastAsia" w:ascii="宋体" w:hAnsi="宋体"/>
                <w:color w:val="000000"/>
                <w:sz w:val="24"/>
                <w:szCs w:val="24"/>
                <w:lang w:eastAsia="zh-CN"/>
              </w:rPr>
              <w:t>：761621.86</w:t>
            </w:r>
            <w:r>
              <w:rPr>
                <w:rFonts w:ascii="宋体" w:hAnsi="宋体"/>
                <w:color w:val="000000"/>
                <w:sz w:val="24"/>
                <w:szCs w:val="24"/>
              </w:rPr>
              <w:t>(元)</w:t>
            </w:r>
          </w:p>
        </w:tc>
        <w:tc>
          <w:tcPr>
            <w:tcW w:w="2764" w:type="dxa"/>
            <w:tcMar>
              <w:top w:w="75" w:type="dxa"/>
              <w:left w:w="150" w:type="dxa"/>
              <w:bottom w:w="75" w:type="dxa"/>
              <w:right w:w="150" w:type="dxa"/>
            </w:tcMar>
            <w:vAlign w:val="center"/>
          </w:tcPr>
          <w:p w14:paraId="0671C1BD">
            <w:pPr>
              <w:keepNext w:val="0"/>
              <w:keepLines w:val="0"/>
              <w:pageBreakBefore w:val="0"/>
              <w:widowControl/>
              <w:kinsoku/>
              <w:overflowPunct/>
              <w:topLinePunct w:val="0"/>
              <w:autoSpaceDE/>
              <w:autoSpaceDN/>
              <w:bidi w:val="0"/>
              <w:adjustRightInd/>
              <w:snapToGrid/>
              <w:spacing w:line="360" w:lineRule="auto"/>
              <w:jc w:val="center"/>
              <w:textAlignment w:val="auto"/>
              <w:rPr>
                <w:rFonts w:ascii="宋体" w:hAnsi="宋体"/>
                <w:color w:val="000000"/>
                <w:sz w:val="24"/>
                <w:szCs w:val="24"/>
              </w:rPr>
            </w:pPr>
            <w:r>
              <w:rPr>
                <w:rFonts w:hint="eastAsia" w:ascii="宋体" w:hAnsi="宋体"/>
                <w:color w:val="000000"/>
                <w:sz w:val="24"/>
                <w:szCs w:val="24"/>
              </w:rPr>
              <w:t>广西恒广建筑工程有限公司</w:t>
            </w:r>
          </w:p>
        </w:tc>
        <w:tc>
          <w:tcPr>
            <w:tcW w:w="3572" w:type="dxa"/>
            <w:tcMar>
              <w:top w:w="75" w:type="dxa"/>
              <w:left w:w="150" w:type="dxa"/>
              <w:bottom w:w="75" w:type="dxa"/>
              <w:right w:w="150" w:type="dxa"/>
            </w:tcMar>
            <w:vAlign w:val="center"/>
          </w:tcPr>
          <w:p w14:paraId="5940EAFE">
            <w:pPr>
              <w:keepNext w:val="0"/>
              <w:keepLines w:val="0"/>
              <w:pageBreakBefore w:val="0"/>
              <w:widowControl/>
              <w:kinsoku/>
              <w:overflowPunct/>
              <w:topLinePunct w:val="0"/>
              <w:autoSpaceDE/>
              <w:autoSpaceDN/>
              <w:bidi w:val="0"/>
              <w:adjustRightInd/>
              <w:snapToGrid/>
              <w:spacing w:line="360" w:lineRule="auto"/>
              <w:jc w:val="center"/>
              <w:textAlignment w:val="auto"/>
              <w:rPr>
                <w:rFonts w:ascii="宋体" w:hAnsi="宋体"/>
                <w:color w:val="000000"/>
                <w:sz w:val="24"/>
                <w:szCs w:val="24"/>
              </w:rPr>
            </w:pPr>
            <w:r>
              <w:rPr>
                <w:rFonts w:hint="eastAsia" w:ascii="宋体" w:hAnsi="宋体"/>
                <w:color w:val="000000"/>
                <w:sz w:val="24"/>
                <w:szCs w:val="24"/>
              </w:rPr>
              <w:t>崇左市建设路8号（中国人民银行崇左市中心支行）办公楼3层</w:t>
            </w:r>
          </w:p>
        </w:tc>
      </w:tr>
      <w:tr w14:paraId="3D882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3" w:hRule="atLeast"/>
        </w:trPr>
        <w:tc>
          <w:tcPr>
            <w:tcW w:w="882" w:type="dxa"/>
            <w:tcMar>
              <w:top w:w="75" w:type="dxa"/>
              <w:left w:w="150" w:type="dxa"/>
              <w:bottom w:w="75" w:type="dxa"/>
              <w:right w:w="150" w:type="dxa"/>
            </w:tcMar>
            <w:vAlign w:val="center"/>
          </w:tcPr>
          <w:p w14:paraId="1729C69F">
            <w:pPr>
              <w:keepNext w:val="0"/>
              <w:keepLines w:val="0"/>
              <w:pageBreakBefore w:val="0"/>
              <w:widowControl/>
              <w:kinsoku/>
              <w:overflowPunct/>
              <w:topLinePunct w:val="0"/>
              <w:autoSpaceDE/>
              <w:autoSpaceDN/>
              <w:bidi w:val="0"/>
              <w:adjustRightInd/>
              <w:snapToGrid/>
              <w:spacing w:line="360" w:lineRule="auto"/>
              <w:jc w:val="center"/>
              <w:textAlignment w:val="auto"/>
              <w:rPr>
                <w:rFonts w:hint="eastAsia" w:ascii="宋体" w:hAnsi="宋体" w:eastAsia="宋体"/>
                <w:color w:val="000000"/>
                <w:sz w:val="24"/>
                <w:szCs w:val="24"/>
                <w:lang w:val="en-US" w:eastAsia="zh-CN"/>
              </w:rPr>
            </w:pPr>
            <w:r>
              <w:rPr>
                <w:rFonts w:hint="eastAsia" w:ascii="宋体" w:hAnsi="宋体"/>
                <w:color w:val="000000"/>
                <w:sz w:val="24"/>
                <w:szCs w:val="24"/>
                <w:lang w:val="en-US" w:eastAsia="zh-CN"/>
              </w:rPr>
              <w:t>2</w:t>
            </w:r>
          </w:p>
        </w:tc>
        <w:tc>
          <w:tcPr>
            <w:tcW w:w="2847" w:type="dxa"/>
            <w:tcMar>
              <w:top w:w="75" w:type="dxa"/>
              <w:left w:w="150" w:type="dxa"/>
              <w:bottom w:w="75" w:type="dxa"/>
              <w:right w:w="150" w:type="dxa"/>
            </w:tcMar>
            <w:vAlign w:val="center"/>
          </w:tcPr>
          <w:p w14:paraId="75B79A8D">
            <w:pPr>
              <w:keepNext w:val="0"/>
              <w:keepLines w:val="0"/>
              <w:pageBreakBefore w:val="0"/>
              <w:widowControl/>
              <w:kinsoku/>
              <w:overflowPunct/>
              <w:topLinePunct w:val="0"/>
              <w:autoSpaceDE/>
              <w:autoSpaceDN/>
              <w:bidi w:val="0"/>
              <w:adjustRightInd/>
              <w:snapToGrid/>
              <w:spacing w:line="360" w:lineRule="auto"/>
              <w:jc w:val="center"/>
              <w:textAlignment w:val="auto"/>
              <w:rPr>
                <w:rFonts w:ascii="宋体" w:hAnsi="宋体"/>
                <w:color w:val="000000"/>
                <w:sz w:val="24"/>
                <w:szCs w:val="24"/>
              </w:rPr>
            </w:pPr>
            <w:r>
              <w:rPr>
                <w:rFonts w:ascii="宋体" w:hAnsi="宋体"/>
                <w:color w:val="000000"/>
                <w:sz w:val="24"/>
                <w:szCs w:val="24"/>
              </w:rPr>
              <w:t>报价</w:t>
            </w:r>
            <w:r>
              <w:rPr>
                <w:rFonts w:hint="eastAsia" w:ascii="宋体" w:hAnsi="宋体"/>
                <w:color w:val="000000"/>
                <w:sz w:val="24"/>
                <w:szCs w:val="24"/>
                <w:lang w:eastAsia="zh-CN"/>
              </w:rPr>
              <w:t>：328673.88</w:t>
            </w:r>
            <w:r>
              <w:rPr>
                <w:rFonts w:ascii="宋体" w:hAnsi="宋体"/>
                <w:color w:val="000000"/>
                <w:sz w:val="24"/>
                <w:szCs w:val="24"/>
              </w:rPr>
              <w:t>(元)</w:t>
            </w:r>
          </w:p>
        </w:tc>
        <w:tc>
          <w:tcPr>
            <w:tcW w:w="2764" w:type="dxa"/>
            <w:tcMar>
              <w:top w:w="75" w:type="dxa"/>
              <w:left w:w="150" w:type="dxa"/>
              <w:bottom w:w="75" w:type="dxa"/>
              <w:right w:w="150" w:type="dxa"/>
            </w:tcMar>
            <w:vAlign w:val="center"/>
          </w:tcPr>
          <w:p w14:paraId="2BF1D81A">
            <w:pPr>
              <w:keepNext w:val="0"/>
              <w:keepLines w:val="0"/>
              <w:pageBreakBefore w:val="0"/>
              <w:widowControl/>
              <w:kinsoku/>
              <w:overflowPunct/>
              <w:topLinePunct w:val="0"/>
              <w:autoSpaceDE/>
              <w:autoSpaceDN/>
              <w:bidi w:val="0"/>
              <w:adjustRightInd/>
              <w:snapToGrid/>
              <w:spacing w:line="360" w:lineRule="auto"/>
              <w:jc w:val="center"/>
              <w:textAlignment w:val="auto"/>
              <w:rPr>
                <w:rFonts w:hint="eastAsia" w:ascii="宋体" w:hAnsi="宋体"/>
                <w:color w:val="000000"/>
                <w:sz w:val="24"/>
                <w:szCs w:val="24"/>
                <w:lang w:val="en-US" w:eastAsia="zh-CN"/>
              </w:rPr>
            </w:pPr>
            <w:r>
              <w:rPr>
                <w:rFonts w:hint="eastAsia" w:ascii="宋体" w:hAnsi="宋体"/>
                <w:color w:val="000000"/>
                <w:sz w:val="24"/>
                <w:szCs w:val="24"/>
                <w:lang w:val="en-US" w:eastAsia="zh-CN"/>
              </w:rPr>
              <w:t>广西万鸿建设集团有限公司</w:t>
            </w:r>
          </w:p>
        </w:tc>
        <w:tc>
          <w:tcPr>
            <w:tcW w:w="3572" w:type="dxa"/>
            <w:tcMar>
              <w:top w:w="75" w:type="dxa"/>
              <w:left w:w="150" w:type="dxa"/>
              <w:bottom w:w="75" w:type="dxa"/>
              <w:right w:w="150" w:type="dxa"/>
            </w:tcMar>
            <w:vAlign w:val="center"/>
          </w:tcPr>
          <w:p w14:paraId="78E53B99">
            <w:pPr>
              <w:keepNext w:val="0"/>
              <w:keepLines w:val="0"/>
              <w:pageBreakBefore w:val="0"/>
              <w:widowControl/>
              <w:kinsoku/>
              <w:overflowPunct/>
              <w:topLinePunct w:val="0"/>
              <w:autoSpaceDE/>
              <w:autoSpaceDN/>
              <w:bidi w:val="0"/>
              <w:adjustRightInd/>
              <w:snapToGrid/>
              <w:spacing w:line="360" w:lineRule="auto"/>
              <w:jc w:val="center"/>
              <w:textAlignment w:val="auto"/>
              <w:rPr>
                <w:rFonts w:ascii="宋体" w:hAnsi="宋体"/>
                <w:color w:val="000000"/>
                <w:sz w:val="24"/>
                <w:szCs w:val="24"/>
              </w:rPr>
            </w:pPr>
            <w:r>
              <w:rPr>
                <w:rFonts w:hint="eastAsia" w:ascii="宋体" w:hAnsi="宋体"/>
                <w:color w:val="000000"/>
                <w:sz w:val="24"/>
                <w:szCs w:val="24"/>
              </w:rPr>
              <w:t>南宁市青秀区民族大道159号凤岭新新家园A区2栋2006-2012号房</w:t>
            </w:r>
          </w:p>
        </w:tc>
      </w:tr>
    </w:tbl>
    <w:p w14:paraId="4E0E285B">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cs="宋体"/>
          <w:color w:val="000000"/>
          <w:kern w:val="0"/>
          <w:sz w:val="27"/>
          <w:szCs w:val="27"/>
        </w:rPr>
      </w:pPr>
      <w:r>
        <w:rPr>
          <w:rFonts w:ascii="宋体" w:hAnsi="宋体"/>
          <w:color w:val="000000"/>
          <w:sz w:val="24"/>
          <w:szCs w:val="24"/>
        </w:rPr>
        <w:t>2.废标结果:</w:t>
      </w:r>
    </w:p>
    <w:tbl>
      <w:tblPr>
        <w:tblStyle w:val="10"/>
        <w:tblW w:w="5062" w:type="pct"/>
        <w:tblInd w:w="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333"/>
        <w:gridCol w:w="2484"/>
        <w:gridCol w:w="2484"/>
        <w:gridCol w:w="2760"/>
      </w:tblGrid>
      <w:tr w14:paraId="2A38E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159" w:type="pct"/>
            <w:tcMar>
              <w:top w:w="75" w:type="dxa"/>
              <w:left w:w="150" w:type="dxa"/>
              <w:bottom w:w="75" w:type="dxa"/>
              <w:right w:w="150" w:type="dxa"/>
            </w:tcMar>
            <w:vAlign w:val="center"/>
          </w:tcPr>
          <w:p w14:paraId="3BFBE6EF">
            <w:pPr>
              <w:keepNext w:val="0"/>
              <w:keepLines w:val="0"/>
              <w:pageBreakBefore w:val="0"/>
              <w:widowControl/>
              <w:kinsoku/>
              <w:overflowPunct/>
              <w:topLinePunct w:val="0"/>
              <w:autoSpaceDE/>
              <w:autoSpaceDN/>
              <w:bidi w:val="0"/>
              <w:adjustRightInd/>
              <w:snapToGrid/>
              <w:spacing w:line="360" w:lineRule="auto"/>
              <w:jc w:val="center"/>
              <w:textAlignment w:val="auto"/>
              <w:rPr>
                <w:rFonts w:ascii="宋体" w:hAnsi="宋体"/>
                <w:color w:val="000000"/>
                <w:sz w:val="24"/>
                <w:szCs w:val="24"/>
              </w:rPr>
            </w:pPr>
            <w:r>
              <w:rPr>
                <w:rFonts w:ascii="宋体" w:hAnsi="宋体"/>
                <w:color w:val="000000"/>
                <w:sz w:val="24"/>
                <w:szCs w:val="24"/>
              </w:rPr>
              <w:t>序号</w:t>
            </w:r>
          </w:p>
        </w:tc>
        <w:tc>
          <w:tcPr>
            <w:tcW w:w="1234" w:type="pct"/>
            <w:tcMar>
              <w:top w:w="75" w:type="dxa"/>
              <w:left w:w="150" w:type="dxa"/>
              <w:bottom w:w="75" w:type="dxa"/>
              <w:right w:w="150" w:type="dxa"/>
            </w:tcMar>
            <w:vAlign w:val="center"/>
          </w:tcPr>
          <w:p w14:paraId="03ECDC14">
            <w:pPr>
              <w:keepNext w:val="0"/>
              <w:keepLines w:val="0"/>
              <w:pageBreakBefore w:val="0"/>
              <w:widowControl/>
              <w:kinsoku/>
              <w:overflowPunct/>
              <w:topLinePunct w:val="0"/>
              <w:autoSpaceDE/>
              <w:autoSpaceDN/>
              <w:bidi w:val="0"/>
              <w:adjustRightInd/>
              <w:snapToGrid/>
              <w:spacing w:line="360" w:lineRule="auto"/>
              <w:jc w:val="center"/>
              <w:textAlignment w:val="auto"/>
              <w:rPr>
                <w:rFonts w:ascii="宋体" w:hAnsi="宋体"/>
                <w:color w:val="000000"/>
                <w:sz w:val="24"/>
                <w:szCs w:val="24"/>
              </w:rPr>
            </w:pPr>
            <w:r>
              <w:rPr>
                <w:rFonts w:ascii="宋体" w:hAnsi="宋体"/>
                <w:color w:val="000000"/>
                <w:sz w:val="24"/>
                <w:szCs w:val="24"/>
              </w:rPr>
              <w:t>标项名称</w:t>
            </w:r>
          </w:p>
        </w:tc>
        <w:tc>
          <w:tcPr>
            <w:tcW w:w="1234" w:type="pct"/>
            <w:tcMar>
              <w:top w:w="75" w:type="dxa"/>
              <w:left w:w="150" w:type="dxa"/>
              <w:bottom w:w="75" w:type="dxa"/>
              <w:right w:w="150" w:type="dxa"/>
            </w:tcMar>
            <w:vAlign w:val="center"/>
          </w:tcPr>
          <w:p w14:paraId="09AFC93B">
            <w:pPr>
              <w:keepNext w:val="0"/>
              <w:keepLines w:val="0"/>
              <w:pageBreakBefore w:val="0"/>
              <w:widowControl/>
              <w:kinsoku/>
              <w:overflowPunct/>
              <w:topLinePunct w:val="0"/>
              <w:autoSpaceDE/>
              <w:autoSpaceDN/>
              <w:bidi w:val="0"/>
              <w:adjustRightInd/>
              <w:snapToGrid/>
              <w:spacing w:line="360" w:lineRule="auto"/>
              <w:jc w:val="center"/>
              <w:textAlignment w:val="auto"/>
              <w:rPr>
                <w:rFonts w:ascii="宋体" w:hAnsi="宋体"/>
                <w:color w:val="000000"/>
                <w:sz w:val="24"/>
                <w:szCs w:val="24"/>
              </w:rPr>
            </w:pPr>
            <w:r>
              <w:rPr>
                <w:rFonts w:ascii="宋体" w:hAnsi="宋体"/>
                <w:color w:val="000000"/>
                <w:sz w:val="24"/>
                <w:szCs w:val="24"/>
              </w:rPr>
              <w:t>废标理由</w:t>
            </w:r>
          </w:p>
        </w:tc>
        <w:tc>
          <w:tcPr>
            <w:tcW w:w="1371" w:type="pct"/>
            <w:tcMar>
              <w:top w:w="75" w:type="dxa"/>
              <w:left w:w="150" w:type="dxa"/>
              <w:bottom w:w="75" w:type="dxa"/>
              <w:right w:w="150" w:type="dxa"/>
            </w:tcMar>
            <w:vAlign w:val="center"/>
          </w:tcPr>
          <w:p w14:paraId="72F161EC">
            <w:pPr>
              <w:keepNext w:val="0"/>
              <w:keepLines w:val="0"/>
              <w:pageBreakBefore w:val="0"/>
              <w:widowControl/>
              <w:kinsoku/>
              <w:overflowPunct/>
              <w:topLinePunct w:val="0"/>
              <w:autoSpaceDE/>
              <w:autoSpaceDN/>
              <w:bidi w:val="0"/>
              <w:adjustRightInd/>
              <w:snapToGrid/>
              <w:spacing w:line="360" w:lineRule="auto"/>
              <w:jc w:val="center"/>
              <w:textAlignment w:val="auto"/>
              <w:rPr>
                <w:rFonts w:ascii="宋体" w:hAnsi="宋体"/>
                <w:color w:val="000000"/>
                <w:sz w:val="24"/>
                <w:szCs w:val="24"/>
              </w:rPr>
            </w:pPr>
            <w:r>
              <w:rPr>
                <w:rFonts w:ascii="宋体" w:hAnsi="宋体"/>
                <w:color w:val="000000"/>
                <w:sz w:val="24"/>
                <w:szCs w:val="24"/>
              </w:rPr>
              <w:t>其他事项</w:t>
            </w:r>
          </w:p>
        </w:tc>
      </w:tr>
    </w:tbl>
    <w:p w14:paraId="46935FEF">
      <w:pPr>
        <w:keepNext w:val="0"/>
        <w:keepLines w:val="0"/>
        <w:pageBreakBefore w:val="0"/>
        <w:widowControl/>
        <w:kinsoku/>
        <w:overflowPunct/>
        <w:topLinePunct w:val="0"/>
        <w:autoSpaceDE/>
        <w:autoSpaceDN/>
        <w:bidi w:val="0"/>
        <w:adjustRightInd/>
        <w:snapToGrid/>
        <w:spacing w:line="360" w:lineRule="auto"/>
        <w:jc w:val="left"/>
        <w:textAlignment w:val="auto"/>
        <w:rPr>
          <w:rFonts w:ascii="黑体" w:hAnsi="黑体" w:eastAsia="黑体" w:cs="宋体"/>
          <w:color w:val="000000"/>
          <w:kern w:val="0"/>
          <w:sz w:val="27"/>
          <w:szCs w:val="27"/>
        </w:rPr>
      </w:pPr>
      <w:r>
        <w:rPr>
          <w:rFonts w:hint="eastAsia" w:ascii="宋体" w:hAnsi="宋体"/>
          <w:b/>
          <w:color w:val="000000" w:themeColor="text1"/>
          <w:sz w:val="24"/>
          <w:szCs w:val="24"/>
        </w:rPr>
        <w:t>四、主要标的信息</w:t>
      </w:r>
    </w:p>
    <w:p w14:paraId="2C4B719C">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lang w:val="en-US" w:eastAsia="zh-CN"/>
        </w:rPr>
        <w:t>工程</w:t>
      </w:r>
      <w:r>
        <w:rPr>
          <w:rFonts w:cs="宋体" w:asciiTheme="minorEastAsia" w:hAnsiTheme="minorEastAsia" w:eastAsiaTheme="minorEastAsia"/>
          <w:color w:val="000000"/>
          <w:kern w:val="0"/>
          <w:sz w:val="24"/>
          <w:szCs w:val="24"/>
        </w:rPr>
        <w:t>类主要标的信息：</w:t>
      </w:r>
    </w:p>
    <w:tbl>
      <w:tblPr>
        <w:tblStyle w:val="10"/>
        <w:tblW w:w="5063" w:type="pct"/>
        <w:tblInd w:w="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12"/>
        <w:gridCol w:w="1682"/>
        <w:gridCol w:w="1650"/>
        <w:gridCol w:w="1384"/>
        <w:gridCol w:w="1350"/>
        <w:gridCol w:w="1383"/>
        <w:gridCol w:w="1804"/>
      </w:tblGrid>
      <w:tr w14:paraId="6D13D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08" w:hRule="atLeast"/>
        </w:trPr>
        <w:tc>
          <w:tcPr>
            <w:tcW w:w="403" w:type="pct"/>
            <w:tcMar>
              <w:top w:w="75" w:type="dxa"/>
              <w:left w:w="150" w:type="dxa"/>
              <w:bottom w:w="75" w:type="dxa"/>
              <w:right w:w="150" w:type="dxa"/>
            </w:tcMar>
            <w:vAlign w:val="center"/>
          </w:tcPr>
          <w:p w14:paraId="015A5D2D">
            <w:pPr>
              <w:keepNext w:val="0"/>
              <w:keepLines w:val="0"/>
              <w:pageBreakBefore w:val="0"/>
              <w:widowControl/>
              <w:kinsoku/>
              <w:overflowPunct/>
              <w:topLinePunct w:val="0"/>
              <w:autoSpaceDE/>
              <w:autoSpaceDN/>
              <w:bidi w:val="0"/>
              <w:adjustRightInd/>
              <w:snapToGrid/>
              <w:spacing w:line="360" w:lineRule="auto"/>
              <w:jc w:val="center"/>
              <w:textAlignment w:val="auto"/>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序号</w:t>
            </w:r>
          </w:p>
        </w:tc>
        <w:tc>
          <w:tcPr>
            <w:tcW w:w="835" w:type="pct"/>
            <w:tcMar>
              <w:top w:w="75" w:type="dxa"/>
              <w:left w:w="150" w:type="dxa"/>
              <w:bottom w:w="75" w:type="dxa"/>
              <w:right w:w="150" w:type="dxa"/>
            </w:tcMar>
            <w:vAlign w:val="center"/>
          </w:tcPr>
          <w:p w14:paraId="64CED0F4">
            <w:pPr>
              <w:keepNext w:val="0"/>
              <w:keepLines w:val="0"/>
              <w:pageBreakBefore w:val="0"/>
              <w:widowControl/>
              <w:kinsoku/>
              <w:overflowPunct/>
              <w:topLinePunct w:val="0"/>
              <w:autoSpaceDE/>
              <w:autoSpaceDN/>
              <w:bidi w:val="0"/>
              <w:adjustRightInd/>
              <w:snapToGrid/>
              <w:spacing w:line="360" w:lineRule="auto"/>
              <w:jc w:val="center"/>
              <w:textAlignment w:val="auto"/>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标项名称</w:t>
            </w:r>
          </w:p>
        </w:tc>
        <w:tc>
          <w:tcPr>
            <w:tcW w:w="819" w:type="pct"/>
            <w:tcMar>
              <w:top w:w="75" w:type="dxa"/>
              <w:left w:w="150" w:type="dxa"/>
              <w:bottom w:w="75" w:type="dxa"/>
              <w:right w:w="150" w:type="dxa"/>
            </w:tcMar>
            <w:vAlign w:val="center"/>
          </w:tcPr>
          <w:p w14:paraId="6D5330A9">
            <w:pPr>
              <w:keepNext w:val="0"/>
              <w:keepLines w:val="0"/>
              <w:pageBreakBefore w:val="0"/>
              <w:widowControl/>
              <w:kinsoku/>
              <w:overflowPunct/>
              <w:topLinePunct w:val="0"/>
              <w:autoSpaceDE/>
              <w:autoSpaceDN/>
              <w:bidi w:val="0"/>
              <w:adjustRightInd/>
              <w:snapToGrid/>
              <w:spacing w:line="360" w:lineRule="auto"/>
              <w:jc w:val="center"/>
              <w:textAlignment w:val="auto"/>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标的名称</w:t>
            </w:r>
          </w:p>
        </w:tc>
        <w:tc>
          <w:tcPr>
            <w:tcW w:w="687" w:type="pct"/>
            <w:tcMar>
              <w:top w:w="75" w:type="dxa"/>
              <w:left w:w="150" w:type="dxa"/>
              <w:bottom w:w="75" w:type="dxa"/>
              <w:right w:w="150" w:type="dxa"/>
            </w:tcMar>
            <w:vAlign w:val="center"/>
          </w:tcPr>
          <w:p w14:paraId="4193D1E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cs="宋体" w:asciiTheme="minorEastAsia" w:hAnsiTheme="minorEastAsia" w:eastAsiaTheme="minorEastAsia"/>
                <w:kern w:val="0"/>
                <w:sz w:val="24"/>
                <w:szCs w:val="24"/>
              </w:rPr>
            </w:pPr>
            <w:r>
              <w:rPr>
                <w:rFonts w:hint="eastAsia" w:ascii="宋体" w:hAnsi="宋体" w:cs="宋体"/>
                <w:color w:val="auto"/>
                <w:kern w:val="0"/>
                <w:sz w:val="24"/>
                <w:szCs w:val="24"/>
              </w:rPr>
              <w:t>施工范围</w:t>
            </w:r>
          </w:p>
        </w:tc>
        <w:tc>
          <w:tcPr>
            <w:tcW w:w="670" w:type="pct"/>
            <w:tcMar>
              <w:top w:w="75" w:type="dxa"/>
              <w:left w:w="150" w:type="dxa"/>
              <w:bottom w:w="75" w:type="dxa"/>
              <w:right w:w="150" w:type="dxa"/>
            </w:tcMar>
            <w:vAlign w:val="center"/>
          </w:tcPr>
          <w:p w14:paraId="74D2D8C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cs="宋体" w:asciiTheme="minorEastAsia" w:hAnsiTheme="minorEastAsia" w:eastAsiaTheme="minorEastAsia"/>
                <w:kern w:val="0"/>
                <w:sz w:val="24"/>
                <w:szCs w:val="24"/>
              </w:rPr>
            </w:pPr>
            <w:r>
              <w:rPr>
                <w:rFonts w:hint="eastAsia" w:ascii="宋体" w:hAnsi="宋体" w:cs="宋体"/>
                <w:color w:val="auto"/>
                <w:kern w:val="0"/>
                <w:sz w:val="24"/>
                <w:szCs w:val="24"/>
              </w:rPr>
              <w:t>施工工期</w:t>
            </w:r>
          </w:p>
        </w:tc>
        <w:tc>
          <w:tcPr>
            <w:tcW w:w="687" w:type="pct"/>
            <w:tcMar>
              <w:top w:w="75" w:type="dxa"/>
              <w:left w:w="150" w:type="dxa"/>
              <w:bottom w:w="75" w:type="dxa"/>
              <w:right w:w="150" w:type="dxa"/>
            </w:tcMar>
            <w:vAlign w:val="center"/>
          </w:tcPr>
          <w:p w14:paraId="5126565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cs="宋体" w:asciiTheme="minorEastAsia" w:hAnsiTheme="minorEastAsia" w:eastAsiaTheme="minorEastAsia"/>
                <w:kern w:val="0"/>
                <w:sz w:val="24"/>
                <w:szCs w:val="24"/>
              </w:rPr>
            </w:pPr>
            <w:r>
              <w:rPr>
                <w:rFonts w:hint="eastAsia" w:ascii="宋体" w:hAnsi="宋体" w:cs="宋体"/>
                <w:color w:val="auto"/>
                <w:kern w:val="0"/>
                <w:sz w:val="24"/>
                <w:szCs w:val="24"/>
              </w:rPr>
              <w:t>项目经理</w:t>
            </w:r>
          </w:p>
        </w:tc>
        <w:tc>
          <w:tcPr>
            <w:tcW w:w="896" w:type="pct"/>
            <w:tcMar>
              <w:top w:w="75" w:type="dxa"/>
              <w:left w:w="150" w:type="dxa"/>
              <w:bottom w:w="75" w:type="dxa"/>
              <w:right w:w="150" w:type="dxa"/>
            </w:tcMar>
            <w:vAlign w:val="center"/>
          </w:tcPr>
          <w:p w14:paraId="410E080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cs="宋体" w:asciiTheme="minorEastAsia" w:hAnsiTheme="minorEastAsia" w:eastAsiaTheme="minorEastAsia"/>
                <w:kern w:val="0"/>
                <w:sz w:val="24"/>
                <w:szCs w:val="24"/>
              </w:rPr>
            </w:pPr>
            <w:r>
              <w:rPr>
                <w:rFonts w:hint="eastAsia" w:ascii="宋体" w:hAnsi="宋体" w:cs="宋体"/>
                <w:color w:val="auto"/>
                <w:kern w:val="0"/>
                <w:sz w:val="24"/>
                <w:szCs w:val="24"/>
              </w:rPr>
              <w:t>执业证书信息</w:t>
            </w:r>
          </w:p>
        </w:tc>
      </w:tr>
      <w:tr w14:paraId="2280A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03" w:type="pct"/>
            <w:tcMar>
              <w:top w:w="75" w:type="dxa"/>
              <w:left w:w="150" w:type="dxa"/>
              <w:bottom w:w="75" w:type="dxa"/>
              <w:right w:w="150" w:type="dxa"/>
            </w:tcMar>
            <w:vAlign w:val="center"/>
          </w:tcPr>
          <w:p w14:paraId="234FF92F">
            <w:pPr>
              <w:keepNext w:val="0"/>
              <w:keepLines w:val="0"/>
              <w:pageBreakBefore w:val="0"/>
              <w:widowControl/>
              <w:kinsoku/>
              <w:overflowPunct/>
              <w:topLinePunct w:val="0"/>
              <w:autoSpaceDE/>
              <w:autoSpaceDN/>
              <w:bidi w:val="0"/>
              <w:adjustRightInd/>
              <w:snapToGrid/>
              <w:spacing w:line="360" w:lineRule="auto"/>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w:t>
            </w:r>
          </w:p>
        </w:tc>
        <w:tc>
          <w:tcPr>
            <w:tcW w:w="835" w:type="pct"/>
            <w:tcMar>
              <w:top w:w="75" w:type="dxa"/>
              <w:left w:w="150" w:type="dxa"/>
              <w:bottom w:w="75" w:type="dxa"/>
              <w:right w:w="150" w:type="dxa"/>
            </w:tcMar>
            <w:vAlign w:val="center"/>
          </w:tcPr>
          <w:p w14:paraId="3A3F69B5">
            <w:pPr>
              <w:keepNext w:val="0"/>
              <w:keepLines w:val="0"/>
              <w:pageBreakBefore w:val="0"/>
              <w:kinsoku/>
              <w:overflowPunct/>
              <w:topLinePunct w:val="0"/>
              <w:autoSpaceDE/>
              <w:autoSpaceDN/>
              <w:bidi w:val="0"/>
              <w:adjustRightInd/>
              <w:snapToGrid/>
              <w:spacing w:line="360" w:lineRule="auto"/>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柳州职业技术大学2026年新生宿舍翻新工程采购-社湾校区</w:t>
            </w:r>
          </w:p>
        </w:tc>
        <w:tc>
          <w:tcPr>
            <w:tcW w:w="819" w:type="pct"/>
            <w:tcMar>
              <w:top w:w="75" w:type="dxa"/>
              <w:left w:w="150" w:type="dxa"/>
              <w:bottom w:w="75" w:type="dxa"/>
              <w:right w:w="150" w:type="dxa"/>
            </w:tcMar>
            <w:vAlign w:val="center"/>
          </w:tcPr>
          <w:p w14:paraId="199C73A1">
            <w:pPr>
              <w:keepNext w:val="0"/>
              <w:keepLines w:val="0"/>
              <w:pageBreakBefore w:val="0"/>
              <w:kinsoku/>
              <w:overflowPunct/>
              <w:topLinePunct w:val="0"/>
              <w:autoSpaceDE/>
              <w:autoSpaceDN/>
              <w:bidi w:val="0"/>
              <w:adjustRightInd/>
              <w:snapToGrid/>
              <w:spacing w:line="360" w:lineRule="auto"/>
              <w:jc w:val="center"/>
              <w:textAlignment w:val="auto"/>
              <w:rPr>
                <w:rFonts w:hint="default" w:cs="宋体" w:asciiTheme="minorEastAsia" w:hAnsiTheme="minorEastAsia" w:eastAsiaTheme="minorEastAsia"/>
                <w:color w:val="000000"/>
                <w:kern w:val="0"/>
                <w:sz w:val="24"/>
                <w:szCs w:val="24"/>
                <w:lang w:val="en-US" w:eastAsia="zh-CN"/>
              </w:rPr>
            </w:pPr>
            <w:r>
              <w:rPr>
                <w:rFonts w:hint="eastAsia" w:cs="宋体" w:asciiTheme="minorEastAsia" w:hAnsiTheme="minorEastAsia" w:eastAsiaTheme="minorEastAsia"/>
                <w:color w:val="000000"/>
                <w:kern w:val="0"/>
                <w:sz w:val="24"/>
                <w:szCs w:val="24"/>
              </w:rPr>
              <w:t>柳州职业技术大学2026年新生宿舍翻新工程采购-社湾校区</w:t>
            </w:r>
          </w:p>
        </w:tc>
        <w:tc>
          <w:tcPr>
            <w:tcW w:w="687" w:type="pct"/>
            <w:tcMar>
              <w:top w:w="75" w:type="dxa"/>
              <w:left w:w="150" w:type="dxa"/>
              <w:bottom w:w="75" w:type="dxa"/>
              <w:right w:w="150" w:type="dxa"/>
            </w:tcMar>
            <w:vAlign w:val="center"/>
          </w:tcPr>
          <w:p w14:paraId="0F1C2D65">
            <w:pPr>
              <w:keepNext w:val="0"/>
              <w:keepLines w:val="0"/>
              <w:pageBreakBefore w:val="0"/>
              <w:kinsoku/>
              <w:overflowPunct/>
              <w:topLinePunct w:val="0"/>
              <w:autoSpaceDE/>
              <w:autoSpaceDN/>
              <w:bidi w:val="0"/>
              <w:adjustRightInd/>
              <w:snapToGrid/>
              <w:spacing w:line="360" w:lineRule="auto"/>
              <w:jc w:val="center"/>
              <w:textAlignment w:val="auto"/>
              <w:rPr>
                <w:rFonts w:hint="default" w:cs="宋体" w:asciiTheme="minorEastAsia" w:hAnsiTheme="minorEastAsia" w:eastAsiaTheme="minorEastAsia"/>
                <w:color w:val="000000"/>
                <w:kern w:val="0"/>
                <w:sz w:val="24"/>
                <w:szCs w:val="24"/>
                <w:lang w:val="en-US" w:eastAsia="zh-CN"/>
              </w:rPr>
            </w:pPr>
            <w:r>
              <w:rPr>
                <w:rFonts w:hint="default" w:cs="宋体" w:asciiTheme="minorEastAsia" w:hAnsiTheme="minorEastAsia" w:eastAsiaTheme="minorEastAsia"/>
                <w:color w:val="000000"/>
                <w:kern w:val="0"/>
                <w:sz w:val="24"/>
                <w:szCs w:val="24"/>
                <w:lang w:val="en-US" w:eastAsia="zh-CN"/>
              </w:rPr>
              <w:t>详见采购文件</w:t>
            </w:r>
          </w:p>
        </w:tc>
        <w:tc>
          <w:tcPr>
            <w:tcW w:w="670" w:type="pct"/>
            <w:tcMar>
              <w:top w:w="75" w:type="dxa"/>
              <w:left w:w="150" w:type="dxa"/>
              <w:bottom w:w="75" w:type="dxa"/>
              <w:right w:w="150" w:type="dxa"/>
            </w:tcMar>
            <w:vAlign w:val="center"/>
          </w:tcPr>
          <w:p w14:paraId="6A150932">
            <w:pPr>
              <w:keepNext w:val="0"/>
              <w:keepLines w:val="0"/>
              <w:pageBreakBefore w:val="0"/>
              <w:widowControl/>
              <w:kinsoku/>
              <w:overflowPunct/>
              <w:topLinePunct w:val="0"/>
              <w:autoSpaceDE/>
              <w:autoSpaceDN/>
              <w:bidi w:val="0"/>
              <w:adjustRightInd/>
              <w:snapToGrid/>
              <w:spacing w:line="360" w:lineRule="auto"/>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25日历天</w:t>
            </w:r>
          </w:p>
        </w:tc>
        <w:tc>
          <w:tcPr>
            <w:tcW w:w="687" w:type="pct"/>
            <w:tcMar>
              <w:top w:w="75" w:type="dxa"/>
              <w:left w:w="150" w:type="dxa"/>
              <w:bottom w:w="75" w:type="dxa"/>
              <w:right w:w="150" w:type="dxa"/>
            </w:tcMar>
            <w:vAlign w:val="center"/>
          </w:tcPr>
          <w:p w14:paraId="00916F31">
            <w:pPr>
              <w:keepNext w:val="0"/>
              <w:keepLines w:val="0"/>
              <w:pageBreakBefore w:val="0"/>
              <w:widowControl/>
              <w:kinsoku/>
              <w:overflowPunct/>
              <w:topLinePunct w:val="0"/>
              <w:autoSpaceDE/>
              <w:autoSpaceDN/>
              <w:bidi w:val="0"/>
              <w:adjustRightInd/>
              <w:snapToGrid/>
              <w:spacing w:line="360" w:lineRule="auto"/>
              <w:jc w:val="center"/>
              <w:textAlignment w:val="auto"/>
              <w:rPr>
                <w:rFonts w:hint="default" w:cs="宋体" w:asciiTheme="minorEastAsia" w:hAnsiTheme="minorEastAsia" w:eastAsiaTheme="minorEastAsia"/>
                <w:color w:val="000000"/>
                <w:kern w:val="0"/>
                <w:sz w:val="24"/>
                <w:szCs w:val="24"/>
                <w:lang w:val="en-US" w:eastAsia="zh-CN"/>
              </w:rPr>
            </w:pPr>
            <w:r>
              <w:rPr>
                <w:rFonts w:hint="default" w:cs="宋体" w:asciiTheme="minorEastAsia" w:hAnsiTheme="minorEastAsia" w:eastAsiaTheme="minorEastAsia"/>
                <w:color w:val="000000"/>
                <w:kern w:val="0"/>
                <w:sz w:val="24"/>
                <w:szCs w:val="24"/>
                <w:lang w:val="en-US" w:eastAsia="zh-CN"/>
              </w:rPr>
              <w:t>兰成宇</w:t>
            </w:r>
          </w:p>
        </w:tc>
        <w:tc>
          <w:tcPr>
            <w:tcW w:w="896" w:type="pct"/>
            <w:tcMar>
              <w:top w:w="75" w:type="dxa"/>
              <w:left w:w="150" w:type="dxa"/>
              <w:bottom w:w="75" w:type="dxa"/>
              <w:right w:w="150" w:type="dxa"/>
            </w:tcMar>
            <w:vAlign w:val="center"/>
          </w:tcPr>
          <w:p w14:paraId="0F20F9F1">
            <w:pPr>
              <w:keepNext w:val="0"/>
              <w:keepLines w:val="0"/>
              <w:pageBreakBefore w:val="0"/>
              <w:kinsoku/>
              <w:overflowPunct/>
              <w:topLinePunct w:val="0"/>
              <w:autoSpaceDE/>
              <w:autoSpaceDN/>
              <w:bidi w:val="0"/>
              <w:adjustRightInd/>
              <w:snapToGrid/>
              <w:spacing w:line="360" w:lineRule="auto"/>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桂245212202054</w:t>
            </w:r>
          </w:p>
        </w:tc>
      </w:tr>
      <w:tr w14:paraId="4A9D4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03" w:type="pct"/>
            <w:tcMar>
              <w:top w:w="75" w:type="dxa"/>
              <w:left w:w="150" w:type="dxa"/>
              <w:bottom w:w="75" w:type="dxa"/>
              <w:right w:w="150" w:type="dxa"/>
            </w:tcMar>
            <w:vAlign w:val="center"/>
          </w:tcPr>
          <w:p w14:paraId="2B78D312">
            <w:pPr>
              <w:keepNext w:val="0"/>
              <w:keepLines w:val="0"/>
              <w:pageBreakBefore w:val="0"/>
              <w:widowControl/>
              <w:kinsoku/>
              <w:overflowPunct/>
              <w:topLinePunct w:val="0"/>
              <w:autoSpaceDE/>
              <w:autoSpaceDN/>
              <w:bidi w:val="0"/>
              <w:adjustRightInd/>
              <w:snapToGrid/>
              <w:spacing w:line="360" w:lineRule="auto"/>
              <w:jc w:val="center"/>
              <w:textAlignment w:val="auto"/>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2</w:t>
            </w:r>
          </w:p>
        </w:tc>
        <w:tc>
          <w:tcPr>
            <w:tcW w:w="835" w:type="pct"/>
            <w:tcMar>
              <w:top w:w="75" w:type="dxa"/>
              <w:left w:w="150" w:type="dxa"/>
              <w:bottom w:w="75" w:type="dxa"/>
              <w:right w:w="150" w:type="dxa"/>
            </w:tcMar>
            <w:vAlign w:val="center"/>
          </w:tcPr>
          <w:p w14:paraId="41CA57A9">
            <w:pPr>
              <w:keepNext w:val="0"/>
              <w:keepLines w:val="0"/>
              <w:pageBreakBefore w:val="0"/>
              <w:kinsoku/>
              <w:overflowPunct/>
              <w:topLinePunct w:val="0"/>
              <w:autoSpaceDE/>
              <w:autoSpaceDN/>
              <w:bidi w:val="0"/>
              <w:adjustRightInd/>
              <w:snapToGrid/>
              <w:spacing w:line="360" w:lineRule="auto"/>
              <w:jc w:val="center"/>
              <w:textAlignment w:val="auto"/>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柳州职业技术大学2026年新生宿舍翻新工程采购-官塘校区</w:t>
            </w:r>
          </w:p>
        </w:tc>
        <w:tc>
          <w:tcPr>
            <w:tcW w:w="819" w:type="pct"/>
            <w:tcMar>
              <w:top w:w="75" w:type="dxa"/>
              <w:left w:w="150" w:type="dxa"/>
              <w:bottom w:w="75" w:type="dxa"/>
              <w:right w:w="150" w:type="dxa"/>
            </w:tcMar>
            <w:vAlign w:val="center"/>
          </w:tcPr>
          <w:p w14:paraId="216CF00B">
            <w:pPr>
              <w:keepNext w:val="0"/>
              <w:keepLines w:val="0"/>
              <w:pageBreakBefore w:val="0"/>
              <w:kinsoku/>
              <w:overflowPunct/>
              <w:topLinePunct w:val="0"/>
              <w:autoSpaceDE/>
              <w:autoSpaceDN/>
              <w:bidi w:val="0"/>
              <w:adjustRightInd/>
              <w:snapToGrid/>
              <w:spacing w:line="360" w:lineRule="auto"/>
              <w:jc w:val="center"/>
              <w:textAlignment w:val="auto"/>
              <w:rPr>
                <w:rFonts w:hint="eastAsia" w:cs="宋体" w:asciiTheme="minorEastAsia" w:hAnsiTheme="minorEastAsia" w:eastAsiaTheme="minorEastAsia"/>
                <w:color w:val="000000"/>
                <w:kern w:val="0"/>
                <w:sz w:val="24"/>
                <w:szCs w:val="24"/>
                <w:lang w:val="en-US" w:eastAsia="zh-CN"/>
              </w:rPr>
            </w:pPr>
            <w:r>
              <w:rPr>
                <w:rFonts w:hint="eastAsia" w:cs="宋体" w:asciiTheme="minorEastAsia" w:hAnsiTheme="minorEastAsia" w:eastAsiaTheme="minorEastAsia"/>
                <w:color w:val="000000"/>
                <w:kern w:val="0"/>
                <w:sz w:val="24"/>
                <w:szCs w:val="24"/>
              </w:rPr>
              <w:t>柳州职业技术大学2026年新生宿舍翻新工程采购-官塘校区</w:t>
            </w:r>
          </w:p>
        </w:tc>
        <w:tc>
          <w:tcPr>
            <w:tcW w:w="687" w:type="pct"/>
            <w:tcMar>
              <w:top w:w="75" w:type="dxa"/>
              <w:left w:w="150" w:type="dxa"/>
              <w:bottom w:w="75" w:type="dxa"/>
              <w:right w:w="150" w:type="dxa"/>
            </w:tcMar>
            <w:vAlign w:val="center"/>
          </w:tcPr>
          <w:p w14:paraId="276465FC">
            <w:pPr>
              <w:keepNext w:val="0"/>
              <w:keepLines w:val="0"/>
              <w:pageBreakBefore w:val="0"/>
              <w:kinsoku/>
              <w:overflowPunct/>
              <w:topLinePunct w:val="0"/>
              <w:autoSpaceDE/>
              <w:autoSpaceDN/>
              <w:bidi w:val="0"/>
              <w:adjustRightInd/>
              <w:snapToGrid/>
              <w:spacing w:line="360" w:lineRule="auto"/>
              <w:jc w:val="center"/>
              <w:textAlignment w:val="auto"/>
              <w:rPr>
                <w:rFonts w:hint="eastAsia" w:cs="宋体" w:asciiTheme="minorEastAsia" w:hAnsiTheme="minorEastAsia" w:eastAsiaTheme="minorEastAsia"/>
                <w:color w:val="000000"/>
                <w:kern w:val="0"/>
                <w:sz w:val="24"/>
                <w:szCs w:val="24"/>
                <w:lang w:val="en-US" w:eastAsia="zh-CN"/>
              </w:rPr>
            </w:pPr>
            <w:r>
              <w:rPr>
                <w:rFonts w:hint="eastAsia" w:cs="宋体" w:asciiTheme="minorEastAsia" w:hAnsiTheme="minorEastAsia" w:eastAsiaTheme="minorEastAsia"/>
                <w:color w:val="000000"/>
                <w:kern w:val="0"/>
                <w:sz w:val="24"/>
                <w:szCs w:val="24"/>
                <w:lang w:val="en-US" w:eastAsia="zh-CN"/>
              </w:rPr>
              <w:t>详见采购文件</w:t>
            </w:r>
          </w:p>
        </w:tc>
        <w:tc>
          <w:tcPr>
            <w:tcW w:w="670" w:type="pct"/>
            <w:tcMar>
              <w:top w:w="75" w:type="dxa"/>
              <w:left w:w="150" w:type="dxa"/>
              <w:bottom w:w="75" w:type="dxa"/>
              <w:right w:w="150" w:type="dxa"/>
            </w:tcMar>
            <w:vAlign w:val="center"/>
          </w:tcPr>
          <w:p w14:paraId="7E39D4DE">
            <w:pPr>
              <w:keepNext w:val="0"/>
              <w:keepLines w:val="0"/>
              <w:pageBreakBefore w:val="0"/>
              <w:widowControl/>
              <w:kinsoku/>
              <w:overflowPunct/>
              <w:topLinePunct w:val="0"/>
              <w:autoSpaceDE/>
              <w:autoSpaceDN/>
              <w:bidi w:val="0"/>
              <w:adjustRightInd/>
              <w:snapToGrid/>
              <w:spacing w:line="360" w:lineRule="auto"/>
              <w:jc w:val="center"/>
              <w:textAlignment w:val="auto"/>
              <w:rPr>
                <w:rFonts w:hint="eastAsia" w:cs="宋体" w:asciiTheme="minorEastAsia" w:hAnsiTheme="minorEastAsia" w:eastAsiaTheme="minorEastAsia"/>
                <w:color w:val="000000"/>
                <w:kern w:val="0"/>
                <w:sz w:val="24"/>
                <w:szCs w:val="24"/>
                <w:lang w:val="en-US" w:eastAsia="zh-CN"/>
              </w:rPr>
            </w:pPr>
            <w:r>
              <w:rPr>
                <w:rFonts w:hint="eastAsia" w:cs="宋体" w:asciiTheme="minorEastAsia" w:hAnsiTheme="minorEastAsia" w:eastAsiaTheme="minorEastAsia"/>
                <w:color w:val="000000"/>
                <w:kern w:val="0"/>
                <w:sz w:val="24"/>
                <w:szCs w:val="24"/>
              </w:rPr>
              <w:t>25日历天</w:t>
            </w:r>
          </w:p>
        </w:tc>
        <w:tc>
          <w:tcPr>
            <w:tcW w:w="687" w:type="pct"/>
            <w:tcMar>
              <w:top w:w="75" w:type="dxa"/>
              <w:left w:w="150" w:type="dxa"/>
              <w:bottom w:w="75" w:type="dxa"/>
              <w:right w:w="150" w:type="dxa"/>
            </w:tcMar>
            <w:vAlign w:val="center"/>
          </w:tcPr>
          <w:p w14:paraId="28C99390">
            <w:pPr>
              <w:keepNext w:val="0"/>
              <w:keepLines w:val="0"/>
              <w:pageBreakBefore w:val="0"/>
              <w:widowControl/>
              <w:kinsoku/>
              <w:overflowPunct/>
              <w:topLinePunct w:val="0"/>
              <w:autoSpaceDE/>
              <w:autoSpaceDN/>
              <w:bidi w:val="0"/>
              <w:adjustRightInd/>
              <w:snapToGrid/>
              <w:spacing w:line="360" w:lineRule="auto"/>
              <w:jc w:val="center"/>
              <w:textAlignment w:val="auto"/>
              <w:rPr>
                <w:rFonts w:hint="eastAsia" w:cs="宋体" w:asciiTheme="minorEastAsia" w:hAnsiTheme="minorEastAsia" w:eastAsiaTheme="minorEastAsia"/>
                <w:color w:val="000000"/>
                <w:kern w:val="0"/>
                <w:sz w:val="24"/>
                <w:szCs w:val="24"/>
                <w:lang w:val="en-US" w:eastAsia="zh-CN"/>
              </w:rPr>
            </w:pPr>
            <w:r>
              <w:rPr>
                <w:rFonts w:hint="eastAsia" w:cs="宋体" w:asciiTheme="minorEastAsia" w:hAnsiTheme="minorEastAsia" w:eastAsiaTheme="minorEastAsia"/>
                <w:color w:val="000000"/>
                <w:kern w:val="0"/>
                <w:sz w:val="24"/>
                <w:szCs w:val="24"/>
                <w:lang w:val="en-US" w:eastAsia="zh-CN"/>
              </w:rPr>
              <w:t>林伟东</w:t>
            </w:r>
          </w:p>
        </w:tc>
        <w:tc>
          <w:tcPr>
            <w:tcW w:w="896" w:type="pct"/>
            <w:tcMar>
              <w:top w:w="75" w:type="dxa"/>
              <w:left w:w="150" w:type="dxa"/>
              <w:bottom w:w="75" w:type="dxa"/>
              <w:right w:w="150" w:type="dxa"/>
            </w:tcMar>
            <w:vAlign w:val="center"/>
          </w:tcPr>
          <w:p w14:paraId="407B65B6">
            <w:pPr>
              <w:keepNext w:val="0"/>
              <w:keepLines w:val="0"/>
              <w:pageBreakBefore w:val="0"/>
              <w:kinsoku/>
              <w:overflowPunct/>
              <w:topLinePunct w:val="0"/>
              <w:autoSpaceDE/>
              <w:autoSpaceDN/>
              <w:bidi w:val="0"/>
              <w:adjustRightInd/>
              <w:snapToGrid/>
              <w:spacing w:line="360" w:lineRule="auto"/>
              <w:jc w:val="center"/>
              <w:textAlignment w:val="auto"/>
              <w:rPr>
                <w:rFonts w:hint="eastAsia" w:cs="宋体" w:asciiTheme="minorEastAsia" w:hAnsiTheme="minorEastAsia" w:eastAsiaTheme="minorEastAsia"/>
                <w:color w:val="000000"/>
                <w:kern w:val="0"/>
                <w:sz w:val="24"/>
                <w:szCs w:val="24"/>
                <w:lang w:val="en-US" w:eastAsia="zh-CN"/>
              </w:rPr>
            </w:pPr>
            <w:r>
              <w:rPr>
                <w:rFonts w:hint="eastAsia" w:cs="宋体" w:asciiTheme="minorEastAsia" w:hAnsiTheme="minorEastAsia" w:eastAsiaTheme="minorEastAsia"/>
                <w:color w:val="000000"/>
                <w:kern w:val="0"/>
                <w:sz w:val="24"/>
                <w:szCs w:val="24"/>
                <w:lang w:val="en-US" w:eastAsia="zh-CN"/>
              </w:rPr>
              <w:t>桂245171866883</w:t>
            </w:r>
          </w:p>
        </w:tc>
      </w:tr>
    </w:tbl>
    <w:p w14:paraId="353F7178">
      <w:pPr>
        <w:keepNext w:val="0"/>
        <w:keepLines w:val="0"/>
        <w:pageBreakBefore w:val="0"/>
        <w:widowControl/>
        <w:kinsoku/>
        <w:overflowPunct/>
        <w:topLinePunct w:val="0"/>
        <w:autoSpaceDE/>
        <w:autoSpaceDN/>
        <w:bidi w:val="0"/>
        <w:adjustRightInd/>
        <w:snapToGrid/>
        <w:spacing w:line="360" w:lineRule="auto"/>
        <w:jc w:val="left"/>
        <w:textAlignment w:val="auto"/>
        <w:rPr>
          <w:rFonts w:ascii="黑体" w:hAnsi="黑体" w:eastAsia="黑体" w:cs="宋体"/>
          <w:color w:val="000000"/>
          <w:kern w:val="0"/>
          <w:sz w:val="27"/>
          <w:szCs w:val="27"/>
        </w:rPr>
      </w:pPr>
      <w:r>
        <w:rPr>
          <w:rFonts w:hint="eastAsia" w:ascii="宋体" w:hAnsi="宋体"/>
          <w:b/>
          <w:color w:val="000000" w:themeColor="text1"/>
          <w:sz w:val="24"/>
          <w:szCs w:val="24"/>
        </w:rPr>
        <w:t>五、评审专家（单一来源采购人员）名单：</w:t>
      </w:r>
    </w:p>
    <w:p w14:paraId="0F08B5DD">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ascii="Arial" w:hAnsi="Arial" w:cs="Arial"/>
          <w:color w:val="000000"/>
          <w:kern w:val="0"/>
          <w:sz w:val="24"/>
          <w:szCs w:val="24"/>
        </w:rPr>
      </w:pPr>
      <w:r>
        <w:rPr>
          <w:rFonts w:hint="eastAsia" w:ascii="Arial" w:hAnsi="Arial" w:cs="Arial"/>
          <w:color w:val="000000"/>
          <w:kern w:val="0"/>
          <w:sz w:val="24"/>
          <w:szCs w:val="24"/>
        </w:rPr>
        <w:t>李惠娟，钟</w:t>
      </w:r>
      <w:r>
        <w:rPr>
          <w:rFonts w:hint="eastAsia" w:ascii="宋体" w:hAnsi="宋体" w:eastAsia="宋体" w:cs="宋体"/>
          <w:color w:val="000000"/>
          <w:kern w:val="0"/>
          <w:sz w:val="24"/>
          <w:szCs w:val="24"/>
        </w:rPr>
        <w:t>旭（第1、2分标采</w:t>
      </w:r>
      <w:r>
        <w:rPr>
          <w:rFonts w:hint="eastAsia" w:ascii="Arial" w:hAnsi="Arial" w:cs="Arial"/>
          <w:color w:val="000000"/>
          <w:kern w:val="0"/>
          <w:sz w:val="24"/>
          <w:szCs w:val="24"/>
        </w:rPr>
        <w:t>购人代表），农思琦</w:t>
      </w:r>
    </w:p>
    <w:p w14:paraId="411AFAF0">
      <w:pPr>
        <w:keepNext w:val="0"/>
        <w:keepLines w:val="0"/>
        <w:pageBreakBefore w:val="0"/>
        <w:widowControl/>
        <w:kinsoku/>
        <w:overflowPunct/>
        <w:topLinePunct w:val="0"/>
        <w:autoSpaceDE/>
        <w:autoSpaceDN/>
        <w:bidi w:val="0"/>
        <w:adjustRightInd/>
        <w:snapToGrid/>
        <w:spacing w:line="360" w:lineRule="auto"/>
        <w:textAlignment w:val="auto"/>
        <w:rPr>
          <w:rFonts w:ascii="黑体" w:hAnsi="黑体" w:eastAsia="黑体" w:cs="宋体"/>
          <w:color w:val="000000"/>
          <w:kern w:val="0"/>
          <w:sz w:val="27"/>
          <w:szCs w:val="27"/>
        </w:rPr>
      </w:pPr>
      <w:r>
        <w:rPr>
          <w:rFonts w:hint="eastAsia" w:ascii="宋体" w:hAnsi="宋体"/>
          <w:b/>
          <w:color w:val="000000" w:themeColor="text1"/>
          <w:sz w:val="24"/>
          <w:szCs w:val="24"/>
        </w:rPr>
        <w:t>六、代理服务收费标准及金额：</w:t>
      </w:r>
    </w:p>
    <w:p w14:paraId="1710EDFD">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ascii="宋体" w:hAnsi="宋体"/>
          <w:color w:val="000000"/>
          <w:sz w:val="24"/>
          <w:szCs w:val="24"/>
        </w:rPr>
      </w:pPr>
      <w:r>
        <w:rPr>
          <w:rFonts w:ascii="宋体" w:hAnsi="宋体"/>
          <w:color w:val="000000"/>
          <w:sz w:val="24"/>
          <w:szCs w:val="24"/>
        </w:rPr>
        <w:t>1.代理服务收费标准：</w:t>
      </w:r>
      <w:r>
        <w:rPr>
          <w:rFonts w:hint="eastAsia" w:ascii="宋体" w:hAnsi="宋体"/>
          <w:color w:val="000000"/>
          <w:sz w:val="24"/>
          <w:szCs w:val="24"/>
        </w:rPr>
        <w:t>本项目每分标采购代理服务费收取标准按</w:t>
      </w:r>
      <w:r>
        <w:rPr>
          <w:rFonts w:hint="eastAsia" w:ascii="宋体" w:hAnsi="宋体"/>
          <w:color w:val="000000"/>
          <w:sz w:val="24"/>
          <w:szCs w:val="24"/>
          <w:lang w:val="en-US" w:eastAsia="zh-CN"/>
        </w:rPr>
        <w:t>竞争性谈判文件“供应商</w:t>
      </w:r>
      <w:r>
        <w:rPr>
          <w:rFonts w:hint="eastAsia" w:ascii="宋体" w:hAnsi="宋体"/>
          <w:color w:val="000000"/>
          <w:sz w:val="24"/>
          <w:szCs w:val="24"/>
        </w:rPr>
        <w:t>须知</w:t>
      </w:r>
      <w:r>
        <w:rPr>
          <w:rFonts w:hint="eastAsia" w:ascii="宋体" w:hAnsi="宋体"/>
          <w:color w:val="000000"/>
          <w:sz w:val="24"/>
          <w:szCs w:val="24"/>
          <w:lang w:eastAsia="zh-CN"/>
        </w:rPr>
        <w:t>”</w:t>
      </w:r>
      <w:r>
        <w:rPr>
          <w:rFonts w:hint="eastAsia" w:ascii="宋体" w:hAnsi="宋体"/>
          <w:color w:val="000000"/>
          <w:sz w:val="24"/>
          <w:szCs w:val="24"/>
        </w:rPr>
        <w:t>第32.1款规定的标准采用差额定率累进计费方式计算（取整到元），由成交供应商在领取成交通知书时，一次性向采购代理机构支付。</w:t>
      </w:r>
    </w:p>
    <w:p w14:paraId="2A3BE013">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hint="default" w:ascii="宋体" w:hAnsi="宋体" w:eastAsia="宋体"/>
          <w:color w:val="000000"/>
          <w:sz w:val="24"/>
          <w:szCs w:val="24"/>
          <w:lang w:val="en-US" w:eastAsia="zh-CN"/>
        </w:rPr>
      </w:pPr>
      <w:r>
        <w:rPr>
          <w:rFonts w:ascii="宋体" w:hAnsi="宋体"/>
          <w:color w:val="000000"/>
          <w:sz w:val="24"/>
          <w:szCs w:val="24"/>
        </w:rPr>
        <w:t>2.代理服务收费金额（元）：</w:t>
      </w:r>
      <w:r>
        <w:rPr>
          <w:rFonts w:hint="eastAsia" w:ascii="宋体" w:hAnsi="宋体"/>
          <w:color w:val="000000"/>
          <w:sz w:val="24"/>
          <w:szCs w:val="24"/>
          <w:lang w:val="en-US" w:eastAsia="zh-CN"/>
        </w:rPr>
        <w:t>10903</w:t>
      </w:r>
    </w:p>
    <w:p w14:paraId="7D0A1835">
      <w:pPr>
        <w:keepNext w:val="0"/>
        <w:keepLines w:val="0"/>
        <w:pageBreakBefore w:val="0"/>
        <w:widowControl/>
        <w:kinsoku/>
        <w:overflowPunct/>
        <w:topLinePunct w:val="0"/>
        <w:autoSpaceDE/>
        <w:autoSpaceDN/>
        <w:bidi w:val="0"/>
        <w:adjustRightInd/>
        <w:snapToGrid/>
        <w:spacing w:line="360" w:lineRule="auto"/>
        <w:textAlignment w:val="auto"/>
        <w:rPr>
          <w:rFonts w:ascii="宋体" w:hAnsi="宋体"/>
          <w:b/>
          <w:color w:val="000000" w:themeColor="text1"/>
          <w:sz w:val="24"/>
          <w:szCs w:val="24"/>
        </w:rPr>
      </w:pPr>
      <w:r>
        <w:rPr>
          <w:rFonts w:hint="eastAsia" w:ascii="宋体" w:hAnsi="宋体"/>
          <w:b/>
          <w:color w:val="000000" w:themeColor="text1"/>
          <w:sz w:val="24"/>
          <w:szCs w:val="24"/>
        </w:rPr>
        <w:t>七、公告期限</w:t>
      </w:r>
    </w:p>
    <w:p w14:paraId="7C0AAAB4">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ascii="宋体" w:hAnsi="宋体"/>
          <w:color w:val="000000"/>
          <w:sz w:val="24"/>
          <w:szCs w:val="24"/>
        </w:rPr>
      </w:pPr>
      <w:r>
        <w:rPr>
          <w:rFonts w:ascii="宋体" w:hAnsi="宋体"/>
          <w:color w:val="000000"/>
          <w:sz w:val="24"/>
          <w:szCs w:val="24"/>
        </w:rPr>
        <w:t>自本公告发布之日起1个工作日。</w:t>
      </w:r>
    </w:p>
    <w:p w14:paraId="2B20C7C7">
      <w:pPr>
        <w:keepNext w:val="0"/>
        <w:keepLines w:val="0"/>
        <w:pageBreakBefore w:val="0"/>
        <w:widowControl/>
        <w:kinsoku/>
        <w:overflowPunct/>
        <w:topLinePunct w:val="0"/>
        <w:autoSpaceDE/>
        <w:autoSpaceDN/>
        <w:bidi w:val="0"/>
        <w:adjustRightInd/>
        <w:snapToGrid/>
        <w:spacing w:line="360" w:lineRule="auto"/>
        <w:textAlignment w:val="auto"/>
        <w:rPr>
          <w:rFonts w:ascii="宋体" w:hAnsi="宋体"/>
          <w:b/>
          <w:color w:val="000000" w:themeColor="text1"/>
          <w:sz w:val="24"/>
          <w:szCs w:val="24"/>
        </w:rPr>
      </w:pPr>
      <w:r>
        <w:rPr>
          <w:rFonts w:hint="eastAsia" w:ascii="宋体" w:hAnsi="宋体"/>
          <w:b/>
          <w:color w:val="000000" w:themeColor="text1"/>
          <w:sz w:val="24"/>
          <w:szCs w:val="24"/>
        </w:rPr>
        <w:t>八、其他补充事宜</w:t>
      </w:r>
    </w:p>
    <w:p w14:paraId="083F6693">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1.网上查询地址：www.ccgp.gov.cn（中国政府采购网）、zfcg.gxzf.gov.cn（广西壮族自治区政府采购网）、zfcg.lzscz.liuzhou.gov.cn（广西柳州政府采购网）。</w:t>
      </w:r>
    </w:p>
    <w:p w14:paraId="69555BF2">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2.供应商认为成交结果使自己的权益受到损害的，可以在成交结果公告期限届满之日起七个工作日内以书面形式向采购人或采购代理机构提出质疑，逾期将不再受理。</w:t>
      </w:r>
    </w:p>
    <w:p w14:paraId="0550A834">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cs="Arial" w:asciiTheme="minorEastAsia" w:hAnsiTheme="minorEastAsia" w:eastAsiaTheme="minorEastAsia"/>
          <w:color w:val="000000"/>
          <w:kern w:val="0"/>
          <w:sz w:val="24"/>
          <w:szCs w:val="24"/>
          <w:lang w:eastAsia="zh-CN"/>
        </w:rPr>
      </w:pPr>
      <w:r>
        <w:rPr>
          <w:rFonts w:hint="eastAsia" w:cs="Arial" w:asciiTheme="minorEastAsia" w:hAnsiTheme="minorEastAsia" w:eastAsiaTheme="minorEastAsia"/>
          <w:color w:val="000000"/>
          <w:kern w:val="0"/>
          <w:sz w:val="24"/>
          <w:szCs w:val="24"/>
        </w:rPr>
        <w:t>3.分标1成交供应商评审报价：761621.86元；分标2成交供应商评审报价：328673.88元</w:t>
      </w:r>
      <w:r>
        <w:rPr>
          <w:rFonts w:hint="eastAsia" w:cs="Arial" w:asciiTheme="minorEastAsia" w:hAnsiTheme="minorEastAsia" w:eastAsiaTheme="minorEastAsia"/>
          <w:color w:val="000000"/>
          <w:kern w:val="0"/>
          <w:sz w:val="24"/>
          <w:szCs w:val="24"/>
          <w:lang w:eastAsia="zh-CN"/>
        </w:rPr>
        <w:t>。</w:t>
      </w:r>
    </w:p>
    <w:p w14:paraId="20AA6FE8">
      <w:pPr>
        <w:keepNext w:val="0"/>
        <w:keepLines w:val="0"/>
        <w:pageBreakBefore w:val="0"/>
        <w:widowControl/>
        <w:kinsoku/>
        <w:overflowPunct/>
        <w:topLinePunct w:val="0"/>
        <w:autoSpaceDE/>
        <w:autoSpaceDN/>
        <w:bidi w:val="0"/>
        <w:adjustRightInd/>
        <w:snapToGrid/>
        <w:spacing w:line="360" w:lineRule="auto"/>
        <w:textAlignment w:val="auto"/>
        <w:rPr>
          <w:rFonts w:ascii="宋体" w:hAnsi="宋体"/>
          <w:b/>
          <w:color w:val="000000" w:themeColor="text1"/>
          <w:sz w:val="24"/>
          <w:szCs w:val="24"/>
        </w:rPr>
      </w:pPr>
      <w:r>
        <w:rPr>
          <w:rFonts w:hint="eastAsia" w:ascii="宋体" w:hAnsi="宋体"/>
          <w:b/>
          <w:color w:val="000000" w:themeColor="text1"/>
          <w:sz w:val="24"/>
          <w:szCs w:val="24"/>
        </w:rPr>
        <w:t>九、对本次公告内容提出询问，请按以下方式联系</w:t>
      </w:r>
    </w:p>
    <w:p w14:paraId="2CEDB865">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ascii="宋体" w:hAnsi="宋体"/>
          <w:color w:val="000000"/>
          <w:sz w:val="24"/>
          <w:szCs w:val="24"/>
        </w:rPr>
      </w:pPr>
      <w:r>
        <w:rPr>
          <w:rFonts w:hint="eastAsia" w:ascii="宋体" w:hAnsi="宋体"/>
          <w:color w:val="000000"/>
          <w:sz w:val="24"/>
          <w:szCs w:val="24"/>
        </w:rPr>
        <w:t>1.采购人信息</w:t>
      </w:r>
    </w:p>
    <w:p w14:paraId="7F5C9E01">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ascii="宋体" w:hAnsi="宋体"/>
          <w:color w:val="000000"/>
          <w:sz w:val="24"/>
          <w:szCs w:val="24"/>
        </w:rPr>
      </w:pPr>
      <w:r>
        <w:rPr>
          <w:rFonts w:hint="eastAsia" w:ascii="宋体" w:hAnsi="宋体"/>
          <w:color w:val="000000"/>
          <w:sz w:val="24"/>
          <w:szCs w:val="24"/>
        </w:rPr>
        <w:t>名 称：柳州职业技术大学</w:t>
      </w:r>
    </w:p>
    <w:p w14:paraId="32A51305">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ascii="宋体" w:hAnsi="宋体"/>
          <w:color w:val="000000"/>
          <w:sz w:val="24"/>
          <w:szCs w:val="24"/>
        </w:rPr>
      </w:pPr>
      <w:r>
        <w:rPr>
          <w:rFonts w:hint="eastAsia" w:ascii="宋体" w:hAnsi="宋体"/>
          <w:color w:val="000000"/>
          <w:sz w:val="24"/>
          <w:szCs w:val="24"/>
        </w:rPr>
        <w:t>地 址：柳州市社湾路28号</w:t>
      </w:r>
    </w:p>
    <w:p w14:paraId="27E6B63C">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ascii="宋体" w:hAnsi="宋体"/>
          <w:color w:val="000000"/>
          <w:sz w:val="24"/>
          <w:szCs w:val="24"/>
        </w:rPr>
      </w:pPr>
      <w:r>
        <w:rPr>
          <w:rFonts w:hint="eastAsia" w:ascii="宋体" w:hAnsi="宋体"/>
          <w:color w:val="000000"/>
          <w:sz w:val="24"/>
          <w:szCs w:val="24"/>
        </w:rPr>
        <w:t>联系方式：0772-3156307</w:t>
      </w:r>
    </w:p>
    <w:p w14:paraId="53211905">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ascii="宋体" w:hAnsi="宋体"/>
          <w:color w:val="000000"/>
          <w:sz w:val="24"/>
          <w:szCs w:val="24"/>
        </w:rPr>
      </w:pPr>
      <w:r>
        <w:rPr>
          <w:rFonts w:hint="eastAsia" w:ascii="宋体" w:hAnsi="宋体"/>
          <w:color w:val="000000"/>
          <w:sz w:val="24"/>
          <w:szCs w:val="24"/>
        </w:rPr>
        <w:t>2.采购代理机构信息</w:t>
      </w:r>
    </w:p>
    <w:p w14:paraId="0CE9911F">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ascii="宋体" w:hAnsi="宋体"/>
          <w:color w:val="000000"/>
          <w:sz w:val="24"/>
          <w:szCs w:val="24"/>
        </w:rPr>
      </w:pPr>
      <w:r>
        <w:rPr>
          <w:rFonts w:hint="eastAsia" w:ascii="宋体" w:hAnsi="宋体"/>
          <w:color w:val="000000"/>
          <w:sz w:val="24"/>
          <w:szCs w:val="24"/>
        </w:rPr>
        <w:t>名 称：广西大德项目管理有限公司</w:t>
      </w:r>
    </w:p>
    <w:p w14:paraId="1368FFF9">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ascii="宋体" w:hAnsi="宋体"/>
          <w:color w:val="000000"/>
          <w:sz w:val="24"/>
          <w:szCs w:val="24"/>
        </w:rPr>
      </w:pPr>
      <w:r>
        <w:rPr>
          <w:rFonts w:hint="eastAsia" w:ascii="宋体" w:hAnsi="宋体"/>
          <w:color w:val="000000"/>
          <w:sz w:val="24"/>
          <w:szCs w:val="24"/>
        </w:rPr>
        <w:t>地 址：柳州市潭中东路17号华信国际B座910</w:t>
      </w:r>
    </w:p>
    <w:p w14:paraId="51CB886E">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ascii="宋体" w:hAnsi="宋体"/>
          <w:color w:val="000000"/>
          <w:sz w:val="24"/>
          <w:szCs w:val="24"/>
        </w:rPr>
      </w:pPr>
      <w:r>
        <w:rPr>
          <w:rFonts w:hint="eastAsia" w:ascii="宋体" w:hAnsi="宋体"/>
          <w:color w:val="000000"/>
          <w:sz w:val="24"/>
          <w:szCs w:val="24"/>
        </w:rPr>
        <w:t>联系方式：0772-2120191</w:t>
      </w:r>
    </w:p>
    <w:p w14:paraId="6E3C1412">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ascii="宋体" w:hAnsi="宋体"/>
          <w:color w:val="000000"/>
          <w:sz w:val="24"/>
          <w:szCs w:val="24"/>
        </w:rPr>
      </w:pPr>
      <w:r>
        <w:rPr>
          <w:rFonts w:hint="eastAsia" w:ascii="宋体" w:hAnsi="宋体"/>
          <w:color w:val="000000"/>
          <w:sz w:val="24"/>
          <w:szCs w:val="24"/>
        </w:rPr>
        <w:t>3.项目联系方式</w:t>
      </w:r>
    </w:p>
    <w:p w14:paraId="5E34EB81">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olor w:val="000000"/>
          <w:sz w:val="24"/>
          <w:szCs w:val="24"/>
          <w:lang w:eastAsia="zh-CN"/>
        </w:rPr>
      </w:pPr>
      <w:r>
        <w:rPr>
          <w:rFonts w:hint="eastAsia" w:ascii="宋体" w:hAnsi="宋体"/>
          <w:color w:val="000000"/>
          <w:sz w:val="24"/>
          <w:szCs w:val="24"/>
        </w:rPr>
        <w:t>项目联系人：梁斌雄</w:t>
      </w:r>
      <w:r>
        <w:rPr>
          <w:rFonts w:hint="eastAsia" w:ascii="宋体" w:hAnsi="宋体"/>
          <w:color w:val="000000"/>
          <w:sz w:val="24"/>
          <w:szCs w:val="24"/>
          <w:lang w:eastAsia="zh-CN"/>
        </w:rPr>
        <w:t>、</w:t>
      </w:r>
      <w:r>
        <w:rPr>
          <w:rFonts w:hint="eastAsia" w:ascii="宋体" w:hAnsi="宋体"/>
          <w:color w:val="000000"/>
          <w:sz w:val="24"/>
          <w:szCs w:val="24"/>
          <w:lang w:val="en-US" w:eastAsia="zh-CN"/>
        </w:rPr>
        <w:t>邱光旭</w:t>
      </w:r>
    </w:p>
    <w:p w14:paraId="74AC6AC7">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ascii="宋体" w:hAnsi="宋体"/>
          <w:color w:val="000000"/>
          <w:sz w:val="24"/>
          <w:szCs w:val="24"/>
        </w:rPr>
      </w:pPr>
      <w:r>
        <w:rPr>
          <w:rFonts w:hint="eastAsia" w:ascii="宋体" w:hAnsi="宋体"/>
          <w:color w:val="000000"/>
          <w:sz w:val="24"/>
          <w:szCs w:val="24"/>
        </w:rPr>
        <w:t>电 话：0772-2120191</w:t>
      </w:r>
    </w:p>
    <w:p w14:paraId="7967A815">
      <w:pPr>
        <w:keepNext w:val="0"/>
        <w:keepLines w:val="0"/>
        <w:pageBreakBefore w:val="0"/>
        <w:kinsoku/>
        <w:overflowPunct/>
        <w:topLinePunct w:val="0"/>
        <w:autoSpaceDE/>
        <w:autoSpaceDN/>
        <w:bidi w:val="0"/>
        <w:adjustRightInd/>
        <w:snapToGrid/>
        <w:spacing w:line="360" w:lineRule="auto"/>
        <w:textAlignment w:val="auto"/>
        <w:rPr>
          <w:rFonts w:cs="宋体" w:asciiTheme="minorEastAsia" w:hAnsiTheme="minorEastAsia" w:eastAsiaTheme="minorEastAsia"/>
          <w:b/>
          <w:color w:val="000000"/>
          <w:kern w:val="0"/>
          <w:sz w:val="24"/>
          <w:szCs w:val="24"/>
        </w:rPr>
      </w:pPr>
    </w:p>
    <w:p w14:paraId="2D81C910">
      <w:pPr>
        <w:keepNext w:val="0"/>
        <w:keepLines w:val="0"/>
        <w:pageBreakBefore w:val="0"/>
        <w:numPr>
          <w:ilvl w:val="0"/>
          <w:numId w:val="0"/>
        </w:numPr>
        <w:kinsoku/>
        <w:overflowPunct/>
        <w:topLinePunct w:val="0"/>
        <w:autoSpaceDE/>
        <w:autoSpaceDN/>
        <w:bidi w:val="0"/>
        <w:adjustRightInd/>
        <w:snapToGrid/>
        <w:spacing w:line="360" w:lineRule="auto"/>
        <w:ind w:firstLine="480" w:firstLineChars="200"/>
        <w:textAlignment w:val="auto"/>
        <w:rPr>
          <w:rFonts w:hint="default" w:cs="宋体" w:asciiTheme="minorEastAsia" w:hAnsiTheme="minorEastAsia" w:eastAsiaTheme="minorEastAsia"/>
          <w:color w:val="000000"/>
          <w:kern w:val="0"/>
          <w:sz w:val="24"/>
          <w:szCs w:val="24"/>
          <w:lang w:val="en-US" w:eastAsia="zh-CN"/>
        </w:rPr>
      </w:pPr>
      <w:bookmarkStart w:id="2" w:name="_GoBack"/>
      <w:bookmarkEnd w:id="2"/>
    </w:p>
    <w:p w14:paraId="16749A61">
      <w:pPr>
        <w:keepNext w:val="0"/>
        <w:keepLines w:val="0"/>
        <w:pageBreakBefore w:val="0"/>
        <w:kinsoku/>
        <w:overflowPunct/>
        <w:topLinePunct w:val="0"/>
        <w:autoSpaceDE/>
        <w:autoSpaceDN/>
        <w:bidi w:val="0"/>
        <w:adjustRightInd/>
        <w:snapToGrid/>
        <w:spacing w:line="360" w:lineRule="auto"/>
        <w:ind w:firstLine="240" w:firstLineChars="100"/>
        <w:jc w:val="right"/>
        <w:textAlignment w:val="auto"/>
        <w:rPr>
          <w:rFonts w:asciiTheme="minorEastAsia" w:hAnsiTheme="minorEastAsia" w:eastAsiaTheme="minorEastAsia"/>
          <w:color w:val="000000" w:themeColor="text1"/>
          <w:sz w:val="24"/>
          <w:szCs w:val="24"/>
        </w:rPr>
      </w:pPr>
    </w:p>
    <w:p w14:paraId="5AAF60A1">
      <w:pPr>
        <w:keepNext w:val="0"/>
        <w:keepLines w:val="0"/>
        <w:pageBreakBefore w:val="0"/>
        <w:kinsoku/>
        <w:overflowPunct/>
        <w:topLinePunct w:val="0"/>
        <w:autoSpaceDE/>
        <w:autoSpaceDN/>
        <w:bidi w:val="0"/>
        <w:adjustRightInd/>
        <w:snapToGrid/>
        <w:spacing w:line="360" w:lineRule="auto"/>
        <w:ind w:firstLine="240" w:firstLineChars="100"/>
        <w:jc w:val="right"/>
        <w:textAlignment w:val="auto"/>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广西大德项目管理有限公司</w:t>
      </w:r>
    </w:p>
    <w:p w14:paraId="0EA11EB0">
      <w:pPr>
        <w:keepNext w:val="0"/>
        <w:keepLines w:val="0"/>
        <w:pageBreakBefore w:val="0"/>
        <w:kinsoku/>
        <w:overflowPunct/>
        <w:topLinePunct w:val="0"/>
        <w:autoSpaceDE/>
        <w:autoSpaceDN/>
        <w:bidi w:val="0"/>
        <w:adjustRightInd/>
        <w:snapToGrid/>
        <w:spacing w:line="360" w:lineRule="auto"/>
        <w:ind w:firstLine="240" w:firstLineChars="100"/>
        <w:jc w:val="right"/>
        <w:textAlignment w:val="auto"/>
        <w:rPr>
          <w:rFonts w:hint="eastAsia" w:asciiTheme="minorEastAsia" w:hAnsiTheme="minorEastAsia" w:eastAsiaTheme="minorEastAsia"/>
          <w:color w:val="000000" w:themeColor="text1"/>
          <w:sz w:val="24"/>
          <w:szCs w:val="24"/>
          <w:lang w:eastAsia="zh-CN"/>
        </w:rPr>
      </w:pPr>
      <w:r>
        <w:rPr>
          <w:rFonts w:hint="eastAsia" w:asciiTheme="minorEastAsia" w:hAnsiTheme="minorEastAsia" w:eastAsiaTheme="minorEastAsia"/>
          <w:color w:val="000000" w:themeColor="text1"/>
          <w:sz w:val="24"/>
          <w:szCs w:val="24"/>
          <w:lang w:val="en-US" w:eastAsia="zh-CN"/>
        </w:rPr>
        <w:t>2026年07月22日</w:t>
      </w:r>
    </w:p>
    <w:sectPr>
      <w:footerReference r:id="rId3" w:type="default"/>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roma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28958"/>
      <w:docPartObj>
        <w:docPartGallery w:val="autotext"/>
      </w:docPartObj>
    </w:sdtPr>
    <w:sdtContent>
      <w:p w14:paraId="63A724B4">
        <w:pPr>
          <w:pStyle w:val="7"/>
          <w:jc w:val="center"/>
        </w:pPr>
        <w:r>
          <w:fldChar w:fldCharType="begin"/>
        </w:r>
        <w:r>
          <w:instrText xml:space="preserve"> PAGE   \* MERGEFORMAT </w:instrText>
        </w:r>
        <w:r>
          <w:fldChar w:fldCharType="separate"/>
        </w:r>
        <w:r>
          <w:rPr>
            <w:lang w:val="zh-CN"/>
          </w:rPr>
          <w:t>2</w:t>
        </w:r>
        <w:r>
          <w:rPr>
            <w:lang w:val="zh-CN"/>
          </w:rPr>
          <w:fldChar w:fldCharType="end"/>
        </w:r>
      </w:p>
    </w:sdtContent>
  </w:sdt>
  <w:p w14:paraId="68374036">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UxMWQxOTY1ZmFjNzMxYjk5M2RkZmUwNjAzMWZlY2EifQ=="/>
  </w:docVars>
  <w:rsids>
    <w:rsidRoot w:val="00342BB7"/>
    <w:rsid w:val="00000450"/>
    <w:rsid w:val="00004A3A"/>
    <w:rsid w:val="0000564F"/>
    <w:rsid w:val="00006B01"/>
    <w:rsid w:val="00007838"/>
    <w:rsid w:val="0001471A"/>
    <w:rsid w:val="0001568B"/>
    <w:rsid w:val="00023911"/>
    <w:rsid w:val="000474E0"/>
    <w:rsid w:val="0009056E"/>
    <w:rsid w:val="00092B16"/>
    <w:rsid w:val="000A15BB"/>
    <w:rsid w:val="000B531D"/>
    <w:rsid w:val="000C2C6B"/>
    <w:rsid w:val="000C5DB8"/>
    <w:rsid w:val="000C6370"/>
    <w:rsid w:val="000E45CB"/>
    <w:rsid w:val="000E58A9"/>
    <w:rsid w:val="001056F6"/>
    <w:rsid w:val="0011578D"/>
    <w:rsid w:val="00117FD0"/>
    <w:rsid w:val="001242F1"/>
    <w:rsid w:val="001428D2"/>
    <w:rsid w:val="00143331"/>
    <w:rsid w:val="00143345"/>
    <w:rsid w:val="00153C80"/>
    <w:rsid w:val="00186CA7"/>
    <w:rsid w:val="00193AB7"/>
    <w:rsid w:val="001F5B62"/>
    <w:rsid w:val="00213D03"/>
    <w:rsid w:val="00215A8A"/>
    <w:rsid w:val="00220EA3"/>
    <w:rsid w:val="002438A6"/>
    <w:rsid w:val="00245C1F"/>
    <w:rsid w:val="002570F2"/>
    <w:rsid w:val="00257776"/>
    <w:rsid w:val="0026024C"/>
    <w:rsid w:val="00264EAA"/>
    <w:rsid w:val="002B38A5"/>
    <w:rsid w:val="002D16EA"/>
    <w:rsid w:val="002D7B83"/>
    <w:rsid w:val="002E02D2"/>
    <w:rsid w:val="002F7400"/>
    <w:rsid w:val="00315EFA"/>
    <w:rsid w:val="00342BB7"/>
    <w:rsid w:val="0036386C"/>
    <w:rsid w:val="003641C3"/>
    <w:rsid w:val="00366B1E"/>
    <w:rsid w:val="00377306"/>
    <w:rsid w:val="00384F12"/>
    <w:rsid w:val="003A3B76"/>
    <w:rsid w:val="003B4D5A"/>
    <w:rsid w:val="003C15C1"/>
    <w:rsid w:val="003D0149"/>
    <w:rsid w:val="003E57AA"/>
    <w:rsid w:val="003E7D44"/>
    <w:rsid w:val="00402E0E"/>
    <w:rsid w:val="00414E53"/>
    <w:rsid w:val="0041608A"/>
    <w:rsid w:val="00430CCD"/>
    <w:rsid w:val="00445822"/>
    <w:rsid w:val="00467E09"/>
    <w:rsid w:val="00491110"/>
    <w:rsid w:val="0049770B"/>
    <w:rsid w:val="004B13F5"/>
    <w:rsid w:val="004B54E9"/>
    <w:rsid w:val="004C2A76"/>
    <w:rsid w:val="004C54E2"/>
    <w:rsid w:val="004E4FC1"/>
    <w:rsid w:val="004F397A"/>
    <w:rsid w:val="00524AA9"/>
    <w:rsid w:val="005331FD"/>
    <w:rsid w:val="005405B5"/>
    <w:rsid w:val="00541818"/>
    <w:rsid w:val="00573126"/>
    <w:rsid w:val="00574EB7"/>
    <w:rsid w:val="0058049B"/>
    <w:rsid w:val="0058070E"/>
    <w:rsid w:val="0058421D"/>
    <w:rsid w:val="005A0547"/>
    <w:rsid w:val="005A7EC4"/>
    <w:rsid w:val="005B1086"/>
    <w:rsid w:val="005F4C50"/>
    <w:rsid w:val="0062275C"/>
    <w:rsid w:val="00627307"/>
    <w:rsid w:val="006325E2"/>
    <w:rsid w:val="00633856"/>
    <w:rsid w:val="0063588B"/>
    <w:rsid w:val="006506A2"/>
    <w:rsid w:val="006535F2"/>
    <w:rsid w:val="0066746B"/>
    <w:rsid w:val="00670529"/>
    <w:rsid w:val="0068706B"/>
    <w:rsid w:val="006A45B5"/>
    <w:rsid w:val="006B6A4A"/>
    <w:rsid w:val="006E04B5"/>
    <w:rsid w:val="006E0BB6"/>
    <w:rsid w:val="00700DE7"/>
    <w:rsid w:val="00747861"/>
    <w:rsid w:val="00786353"/>
    <w:rsid w:val="00791C66"/>
    <w:rsid w:val="007A7A6D"/>
    <w:rsid w:val="007B30E7"/>
    <w:rsid w:val="007D2868"/>
    <w:rsid w:val="00805199"/>
    <w:rsid w:val="00832F8E"/>
    <w:rsid w:val="0083619C"/>
    <w:rsid w:val="008369A1"/>
    <w:rsid w:val="00837B61"/>
    <w:rsid w:val="00844703"/>
    <w:rsid w:val="00880A07"/>
    <w:rsid w:val="00883503"/>
    <w:rsid w:val="00894B86"/>
    <w:rsid w:val="008A0381"/>
    <w:rsid w:val="008A1BA2"/>
    <w:rsid w:val="008A3FDC"/>
    <w:rsid w:val="008A4F22"/>
    <w:rsid w:val="008C0985"/>
    <w:rsid w:val="008C2DE5"/>
    <w:rsid w:val="008D2BC0"/>
    <w:rsid w:val="008D3F38"/>
    <w:rsid w:val="008F027D"/>
    <w:rsid w:val="00905EB9"/>
    <w:rsid w:val="00915B31"/>
    <w:rsid w:val="00923D2F"/>
    <w:rsid w:val="00926290"/>
    <w:rsid w:val="009441AF"/>
    <w:rsid w:val="0096459A"/>
    <w:rsid w:val="00976666"/>
    <w:rsid w:val="00996040"/>
    <w:rsid w:val="009B2F3A"/>
    <w:rsid w:val="009C2E4D"/>
    <w:rsid w:val="009D1D24"/>
    <w:rsid w:val="009D7A87"/>
    <w:rsid w:val="009F6D02"/>
    <w:rsid w:val="00A0691A"/>
    <w:rsid w:val="00A15503"/>
    <w:rsid w:val="00A15D37"/>
    <w:rsid w:val="00A26048"/>
    <w:rsid w:val="00A26408"/>
    <w:rsid w:val="00A333EE"/>
    <w:rsid w:val="00A34EC4"/>
    <w:rsid w:val="00A3506A"/>
    <w:rsid w:val="00A54B5A"/>
    <w:rsid w:val="00A56992"/>
    <w:rsid w:val="00A95C07"/>
    <w:rsid w:val="00AA0E95"/>
    <w:rsid w:val="00AA231B"/>
    <w:rsid w:val="00AE07DE"/>
    <w:rsid w:val="00AE6914"/>
    <w:rsid w:val="00B100F3"/>
    <w:rsid w:val="00B22A82"/>
    <w:rsid w:val="00B30499"/>
    <w:rsid w:val="00B308F2"/>
    <w:rsid w:val="00B329CC"/>
    <w:rsid w:val="00B350C4"/>
    <w:rsid w:val="00B430BC"/>
    <w:rsid w:val="00B44752"/>
    <w:rsid w:val="00B61A67"/>
    <w:rsid w:val="00B723A7"/>
    <w:rsid w:val="00B83F95"/>
    <w:rsid w:val="00B92E22"/>
    <w:rsid w:val="00BA25FF"/>
    <w:rsid w:val="00BA6C57"/>
    <w:rsid w:val="00BB2949"/>
    <w:rsid w:val="00BC0247"/>
    <w:rsid w:val="00BC2368"/>
    <w:rsid w:val="00BC2BD7"/>
    <w:rsid w:val="00BD21A6"/>
    <w:rsid w:val="00BF3F37"/>
    <w:rsid w:val="00BF6B1C"/>
    <w:rsid w:val="00C24442"/>
    <w:rsid w:val="00C24797"/>
    <w:rsid w:val="00C26430"/>
    <w:rsid w:val="00C40ACC"/>
    <w:rsid w:val="00C43EF6"/>
    <w:rsid w:val="00C67958"/>
    <w:rsid w:val="00C67ED5"/>
    <w:rsid w:val="00C765C2"/>
    <w:rsid w:val="00C87662"/>
    <w:rsid w:val="00C91FF4"/>
    <w:rsid w:val="00CC6F7A"/>
    <w:rsid w:val="00CD4845"/>
    <w:rsid w:val="00CD4866"/>
    <w:rsid w:val="00CD5B04"/>
    <w:rsid w:val="00CF118D"/>
    <w:rsid w:val="00CF41F0"/>
    <w:rsid w:val="00D04D3B"/>
    <w:rsid w:val="00D141BF"/>
    <w:rsid w:val="00D2136E"/>
    <w:rsid w:val="00D26C80"/>
    <w:rsid w:val="00D37086"/>
    <w:rsid w:val="00D42318"/>
    <w:rsid w:val="00D55C95"/>
    <w:rsid w:val="00D60FC7"/>
    <w:rsid w:val="00D6636B"/>
    <w:rsid w:val="00D675FC"/>
    <w:rsid w:val="00D82F64"/>
    <w:rsid w:val="00D909D8"/>
    <w:rsid w:val="00DB2517"/>
    <w:rsid w:val="00DB790B"/>
    <w:rsid w:val="00DB7A38"/>
    <w:rsid w:val="00DC37D7"/>
    <w:rsid w:val="00DD155B"/>
    <w:rsid w:val="00DD7184"/>
    <w:rsid w:val="00DE53F9"/>
    <w:rsid w:val="00E12FDC"/>
    <w:rsid w:val="00E16B34"/>
    <w:rsid w:val="00E22522"/>
    <w:rsid w:val="00E2549D"/>
    <w:rsid w:val="00E31601"/>
    <w:rsid w:val="00E55194"/>
    <w:rsid w:val="00E66505"/>
    <w:rsid w:val="00E82732"/>
    <w:rsid w:val="00E96572"/>
    <w:rsid w:val="00EB09E5"/>
    <w:rsid w:val="00EB5A06"/>
    <w:rsid w:val="00EC7CA6"/>
    <w:rsid w:val="00EE1BB0"/>
    <w:rsid w:val="00EF4FFD"/>
    <w:rsid w:val="00F116A0"/>
    <w:rsid w:val="00F31605"/>
    <w:rsid w:val="00F31E96"/>
    <w:rsid w:val="00F35868"/>
    <w:rsid w:val="00F42CBE"/>
    <w:rsid w:val="00F51C6B"/>
    <w:rsid w:val="00F57D1F"/>
    <w:rsid w:val="00F83844"/>
    <w:rsid w:val="00F94A1C"/>
    <w:rsid w:val="00FA56EE"/>
    <w:rsid w:val="00FC4E59"/>
    <w:rsid w:val="00FE351A"/>
    <w:rsid w:val="0657245C"/>
    <w:rsid w:val="07A019A5"/>
    <w:rsid w:val="0B732F2C"/>
    <w:rsid w:val="0CDD6557"/>
    <w:rsid w:val="10DB646E"/>
    <w:rsid w:val="11103916"/>
    <w:rsid w:val="11B3592C"/>
    <w:rsid w:val="130C72B8"/>
    <w:rsid w:val="15102AC9"/>
    <w:rsid w:val="17F21810"/>
    <w:rsid w:val="1DA750FA"/>
    <w:rsid w:val="22351496"/>
    <w:rsid w:val="22F1664C"/>
    <w:rsid w:val="23057C2B"/>
    <w:rsid w:val="2600096D"/>
    <w:rsid w:val="26735D8E"/>
    <w:rsid w:val="27893DAB"/>
    <w:rsid w:val="2906565F"/>
    <w:rsid w:val="2C1D0F66"/>
    <w:rsid w:val="2C736DD8"/>
    <w:rsid w:val="35BD6EA0"/>
    <w:rsid w:val="35D23A78"/>
    <w:rsid w:val="364D2448"/>
    <w:rsid w:val="37B7532C"/>
    <w:rsid w:val="384F70C4"/>
    <w:rsid w:val="3877581E"/>
    <w:rsid w:val="3E2C6DE7"/>
    <w:rsid w:val="438D0328"/>
    <w:rsid w:val="476475F1"/>
    <w:rsid w:val="4A001853"/>
    <w:rsid w:val="4A017D1B"/>
    <w:rsid w:val="4B724D18"/>
    <w:rsid w:val="4BA12BC2"/>
    <w:rsid w:val="4CEE5B0C"/>
    <w:rsid w:val="4F5D4109"/>
    <w:rsid w:val="4F6C68F2"/>
    <w:rsid w:val="512C5624"/>
    <w:rsid w:val="51CC5815"/>
    <w:rsid w:val="522206F4"/>
    <w:rsid w:val="5238332E"/>
    <w:rsid w:val="54AB6860"/>
    <w:rsid w:val="55606725"/>
    <w:rsid w:val="585D3F0C"/>
    <w:rsid w:val="5B9C2140"/>
    <w:rsid w:val="5BCA3A6F"/>
    <w:rsid w:val="5C052E5D"/>
    <w:rsid w:val="5E503671"/>
    <w:rsid w:val="5E5E7156"/>
    <w:rsid w:val="5E6653F0"/>
    <w:rsid w:val="60496D41"/>
    <w:rsid w:val="629021F7"/>
    <w:rsid w:val="634467FD"/>
    <w:rsid w:val="640D642F"/>
    <w:rsid w:val="645312BC"/>
    <w:rsid w:val="6718068C"/>
    <w:rsid w:val="68AA0086"/>
    <w:rsid w:val="6AFA48D5"/>
    <w:rsid w:val="6C6F4A26"/>
    <w:rsid w:val="6EA422B7"/>
    <w:rsid w:val="6ED726F2"/>
    <w:rsid w:val="6F3C09F2"/>
    <w:rsid w:val="6F4B5158"/>
    <w:rsid w:val="6FEF1FB8"/>
    <w:rsid w:val="70795D2D"/>
    <w:rsid w:val="71A556F6"/>
    <w:rsid w:val="727226CC"/>
    <w:rsid w:val="72B0266E"/>
    <w:rsid w:val="735D5603"/>
    <w:rsid w:val="73A8345D"/>
    <w:rsid w:val="73FE0302"/>
    <w:rsid w:val="75924901"/>
    <w:rsid w:val="794744F9"/>
    <w:rsid w:val="7B02692A"/>
    <w:rsid w:val="7ED21B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9"/>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1"/>
    <w:pPr>
      <w:spacing w:after="120"/>
    </w:pPr>
  </w:style>
  <w:style w:type="paragraph" w:styleId="5">
    <w:name w:val="Plain Text"/>
    <w:basedOn w:val="1"/>
    <w:link w:val="20"/>
    <w:qFormat/>
    <w:uiPriority w:val="0"/>
    <w:rPr>
      <w:rFonts w:ascii="宋体" w:hAnsi="Courier New" w:eastAsiaTheme="minorEastAsia" w:cstheme="minorBidi"/>
      <w:szCs w:val="22"/>
    </w:rPr>
  </w:style>
  <w:style w:type="paragraph" w:styleId="6">
    <w:name w:val="Balloon Text"/>
    <w:basedOn w:val="1"/>
    <w:link w:val="21"/>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3">
    <w:name w:val="Strong"/>
    <w:basedOn w:val="12"/>
    <w:qFormat/>
    <w:uiPriority w:val="22"/>
    <w:rPr>
      <w:b/>
      <w:bCs/>
    </w:rPr>
  </w:style>
  <w:style w:type="character" w:styleId="14">
    <w:name w:val="Hyperlink"/>
    <w:basedOn w:val="12"/>
    <w:semiHidden/>
    <w:unhideWhenUsed/>
    <w:qFormat/>
    <w:uiPriority w:val="99"/>
    <w:rPr>
      <w:color w:val="0000FF"/>
      <w:u w:val="single"/>
    </w:rPr>
  </w:style>
  <w:style w:type="character" w:customStyle="1" w:styleId="15">
    <w:name w:val="页眉 Char"/>
    <w:basedOn w:val="12"/>
    <w:link w:val="8"/>
    <w:qFormat/>
    <w:uiPriority w:val="99"/>
    <w:rPr>
      <w:sz w:val="18"/>
      <w:szCs w:val="18"/>
    </w:rPr>
  </w:style>
  <w:style w:type="character" w:customStyle="1" w:styleId="16">
    <w:name w:val="页脚 Char"/>
    <w:basedOn w:val="12"/>
    <w:link w:val="7"/>
    <w:qFormat/>
    <w:uiPriority w:val="99"/>
    <w:rPr>
      <w:sz w:val="18"/>
      <w:szCs w:val="18"/>
    </w:rPr>
  </w:style>
  <w:style w:type="paragraph" w:styleId="1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8">
    <w:name w:val="标题 1 Char"/>
    <w:basedOn w:val="12"/>
    <w:link w:val="3"/>
    <w:qFormat/>
    <w:uiPriority w:val="9"/>
    <w:rPr>
      <w:rFonts w:ascii="Times New Roman" w:hAnsi="Times New Roman" w:eastAsia="宋体" w:cs="Times New Roman"/>
      <w:b/>
      <w:bCs/>
      <w:kern w:val="44"/>
      <w:sz w:val="44"/>
      <w:szCs w:val="44"/>
    </w:rPr>
  </w:style>
  <w:style w:type="character" w:customStyle="1" w:styleId="19">
    <w:name w:val="标题 2 Char"/>
    <w:basedOn w:val="12"/>
    <w:link w:val="4"/>
    <w:qFormat/>
    <w:uiPriority w:val="0"/>
    <w:rPr>
      <w:rFonts w:ascii="Arial" w:hAnsi="Arial" w:eastAsia="黑体" w:cs="Arial"/>
      <w:b/>
      <w:bCs/>
      <w:sz w:val="32"/>
      <w:szCs w:val="32"/>
    </w:rPr>
  </w:style>
  <w:style w:type="character" w:customStyle="1" w:styleId="20">
    <w:name w:val="纯文本 Char"/>
    <w:basedOn w:val="12"/>
    <w:link w:val="5"/>
    <w:qFormat/>
    <w:uiPriority w:val="0"/>
    <w:rPr>
      <w:rFonts w:ascii="宋体" w:hAnsi="Courier New"/>
    </w:rPr>
  </w:style>
  <w:style w:type="character" w:customStyle="1" w:styleId="21">
    <w:name w:val="批注框文本 Char"/>
    <w:basedOn w:val="12"/>
    <w:link w:val="6"/>
    <w:semiHidden/>
    <w:qFormat/>
    <w:uiPriority w:val="99"/>
    <w:rPr>
      <w:rFonts w:ascii="Times New Roman" w:hAnsi="Times New Roman" w:eastAsia="宋体" w:cs="Times New Roman"/>
      <w:sz w:val="18"/>
      <w:szCs w:val="18"/>
    </w:rPr>
  </w:style>
  <w:style w:type="character" w:customStyle="1" w:styleId="22">
    <w:name w:val="bookmark-item"/>
    <w:basedOn w:val="12"/>
    <w:qFormat/>
    <w:uiPriority w:val="0"/>
  </w:style>
  <w:style w:type="paragraph" w:customStyle="1" w:styleId="23">
    <w:name w:val="sub"/>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8EF9A-A1C4-4A5C-8A8B-8C0A3860E994}">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3</Pages>
  <Words>936</Words>
  <Characters>1180</Characters>
  <Lines>8</Lines>
  <Paragraphs>2</Paragraphs>
  <TotalTime>9</TotalTime>
  <ScaleCrop>false</ScaleCrop>
  <LinksUpToDate>false</LinksUpToDate>
  <CharactersWithSpaces>1185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2020-07-01T12:54:00Z</dcterms:created>
  <dc:creator>Micorosoft</dc:creator>
  <cp:lastModifiedBy>五星好市民</cp:lastModifiedBy>
  <cp:lastPrinted>2026-07-21T03:08:00Z</cp:lastPrinted>
  <dcterms:modified xsi:type="dcterms:W3CDTF">2026-07-22T09:22:27Z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14A46C3BE0ED4C518D763F85F05A8A09_12</vt:lpwstr>
  </property>
  <property fmtid="{D5CDD505-2E9C-101B-9397-08002B2CF9AE}" pid="4" name="KSOTemplateDocerSaveRecord">
    <vt:lpwstr>eyJoZGlkIjoiODA3ZDhmODk2NDRkYjI4ZDhlNmZkZDJiZmIzMjViOTYiLCJ1c2VySWQiOiIxNTk2NDc0MTE2In0=</vt:lpwstr>
  </property>
</Properties>
</file>