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荧光分光光度计采购项目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14-1</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10</w:t>
      </w:r>
      <w:r>
        <w:rPr>
          <w:rFonts w:hint="eastAsia" w:ascii="Arial" w:hAnsi="Arial" w:cs="Arial"/>
          <w:b/>
          <w:kern w:val="0"/>
          <w:sz w:val="22"/>
          <w:szCs w:val="24"/>
          <w:lang w:bidi="en-US"/>
        </w:rPr>
        <w:t>日</w:t>
      </w:r>
    </w:p>
    <w:p w14:paraId="295E3174">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荧光分光光度计采购</w:t>
      </w:r>
    </w:p>
    <w:p w14:paraId="70DCB1EE">
      <w:pPr>
        <w:numPr>
          <w:ilvl w:val="0"/>
          <w:numId w:val="1"/>
        </w:numPr>
        <w:spacing w:line="520" w:lineRule="exact"/>
        <w:rPr>
          <w:rFonts w:ascii="Arial" w:hAnsi="Arial" w:cs="Arial"/>
          <w:b w:val="0"/>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壹拾壹万陆仟伍</w:t>
      </w:r>
      <w:r>
        <w:rPr>
          <w:rFonts w:hint="eastAsia" w:ascii="Arial" w:hAnsi="Arial" w:cs="Arial"/>
          <w:bCs/>
          <w:color w:val="auto"/>
          <w:kern w:val="0"/>
          <w:sz w:val="24"/>
          <w:szCs w:val="28"/>
          <w:lang w:val="en-US" w:eastAsia="zh-CN" w:bidi="en-US"/>
        </w:rPr>
        <w:t>佰</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116500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65"/>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2"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665" w:type="dxa"/>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02" w:type="dxa"/>
          </w:tcPr>
          <w:p w14:paraId="07123255">
            <w:pPr>
              <w:pStyle w:val="42"/>
              <w:spacing w:before="62" w:line="241" w:lineRule="auto"/>
              <w:ind w:left="194"/>
              <w:rPr>
                <w:rFonts w:ascii="Arial" w:hAnsi="Arial" w:cs="Arial"/>
                <w:color w:val="000000"/>
                <w:kern w:val="0"/>
                <w:szCs w:val="21"/>
                <w:lang w:eastAsia="zh-CN"/>
              </w:rPr>
            </w:pPr>
            <w:r>
              <w:rPr>
                <w:rFonts w:hint="eastAsia" w:ascii="Arial" w:hAnsi="Arial" w:cs="Arial"/>
                <w:color w:val="000000"/>
                <w:kern w:val="0"/>
                <w:szCs w:val="21"/>
                <w:lang w:eastAsia="zh-CN"/>
              </w:rPr>
              <w:t>1</w:t>
            </w:r>
          </w:p>
        </w:tc>
        <w:tc>
          <w:tcPr>
            <w:tcW w:w="665" w:type="dxa"/>
            <w:noWrap/>
          </w:tcPr>
          <w:p w14:paraId="1017D528">
            <w:pPr>
              <w:pStyle w:val="42"/>
              <w:spacing w:before="65" w:line="221" w:lineRule="auto"/>
              <w:rPr>
                <w:rFonts w:ascii="Arial" w:hAnsi="Arial" w:cs="Arial"/>
                <w:color w:val="000000"/>
                <w:kern w:val="0"/>
                <w:szCs w:val="21"/>
              </w:rPr>
            </w:pPr>
            <w:r>
              <w:rPr>
                <w:rFonts w:hint="eastAsia" w:ascii="Arial" w:hAnsi="Arial" w:cs="Arial"/>
                <w:color w:val="000000"/>
                <w:kern w:val="0"/>
                <w:szCs w:val="21"/>
              </w:rPr>
              <w:t>荧光分光光度计</w:t>
            </w:r>
          </w:p>
        </w:tc>
        <w:tc>
          <w:tcPr>
            <w:tcW w:w="7759" w:type="dxa"/>
            <w:noWrap/>
          </w:tcPr>
          <w:p w14:paraId="529A6317">
            <w:pPr>
              <w:pStyle w:val="42"/>
              <w:spacing w:before="60" w:line="219" w:lineRule="auto"/>
              <w:ind w:left="61"/>
              <w:rPr>
                <w:highlight w:val="none"/>
                <w:lang w:eastAsia="zh-CN"/>
              </w:rPr>
            </w:pPr>
            <w:r>
              <w:rPr>
                <w:spacing w:val="-3"/>
                <w:lang w:eastAsia="zh-CN"/>
              </w:rPr>
              <w:t>一、主机</w:t>
            </w:r>
            <w:r>
              <w:rPr>
                <w:sz w:val="18"/>
                <w:szCs w:val="18"/>
                <w:lang w:eastAsia="zh-CN"/>
              </w:rPr>
              <w:t>(含电源线)</w:t>
            </w:r>
            <w:r>
              <w:rPr>
                <w:rFonts w:hint="eastAsia"/>
                <w:sz w:val="18"/>
                <w:szCs w:val="18"/>
                <w:lang w:eastAsia="zh-CN"/>
              </w:rPr>
              <w:t>，</w:t>
            </w:r>
            <w:r>
              <w:rPr>
                <w:rFonts w:hint="eastAsia"/>
                <w:sz w:val="18"/>
                <w:szCs w:val="18"/>
                <w:highlight w:val="none"/>
                <w:lang w:eastAsia="zh-CN"/>
              </w:rPr>
              <w:t xml:space="preserve"> 含软件。</w:t>
            </w:r>
          </w:p>
          <w:p w14:paraId="10A800DA">
            <w:pPr>
              <w:pStyle w:val="42"/>
              <w:spacing w:before="117" w:line="296" w:lineRule="auto"/>
              <w:ind w:left="11"/>
              <w:rPr>
                <w:b/>
                <w:bCs/>
                <w:strike/>
                <w:color w:val="EE0000"/>
                <w:highlight w:val="none"/>
                <w:lang w:eastAsia="zh-CN"/>
              </w:rPr>
            </w:pPr>
            <w:r>
              <w:rPr>
                <w:spacing w:val="-1"/>
                <w:highlight w:val="none"/>
                <w:lang w:eastAsia="zh-CN"/>
              </w:rPr>
              <w:t>1</w:t>
            </w:r>
            <w:r>
              <w:rPr>
                <w:rFonts w:hint="eastAsia"/>
                <w:spacing w:val="-1"/>
                <w:highlight w:val="none"/>
                <w:lang w:eastAsia="zh-CN"/>
              </w:rPr>
              <w:t>.</w:t>
            </w:r>
            <w:r>
              <w:rPr>
                <w:spacing w:val="-1"/>
                <w:highlight w:val="none"/>
                <w:lang w:eastAsia="zh-CN"/>
              </w:rPr>
              <w:t>进行荧光、生物发光、化学发光等的</w:t>
            </w:r>
            <w:r>
              <w:rPr>
                <w:spacing w:val="3"/>
                <w:highlight w:val="none"/>
                <w:lang w:eastAsia="zh-CN"/>
              </w:rPr>
              <w:t>波长扫描(激发扫描和发射扫描)、激发-发射全图</w:t>
            </w:r>
            <w:r>
              <w:rPr>
                <w:spacing w:val="-4"/>
                <w:highlight w:val="none"/>
                <w:lang w:eastAsia="zh-CN"/>
              </w:rPr>
              <w:t>谱扫描、动力学扫描、同步扫描、定量测量等，可自</w:t>
            </w:r>
            <w:r>
              <w:rPr>
                <w:spacing w:val="-2"/>
                <w:highlight w:val="none"/>
                <w:lang w:eastAsia="zh-CN"/>
              </w:rPr>
              <w:t>动升级各向异性测量。</w:t>
            </w:r>
          </w:p>
          <w:p w14:paraId="6D8A7DFA">
            <w:pPr>
              <w:pStyle w:val="42"/>
              <w:spacing w:before="94" w:line="265" w:lineRule="auto"/>
              <w:ind w:right="107"/>
              <w:rPr>
                <w:highlight w:val="none"/>
                <w:lang w:eastAsia="zh-CN"/>
              </w:rPr>
            </w:pPr>
            <w:r>
              <w:rPr>
                <w:highlight w:val="none"/>
                <w:lang w:eastAsia="zh-CN"/>
              </w:rPr>
              <w:t>2</w:t>
            </w:r>
            <w:r>
              <w:rPr>
                <w:rFonts w:hint="eastAsia"/>
                <w:highlight w:val="none"/>
                <w:lang w:eastAsia="zh-CN"/>
              </w:rPr>
              <w:t>.</w:t>
            </w:r>
            <w:r>
              <w:rPr>
                <w:highlight w:val="none"/>
                <w:lang w:eastAsia="zh-CN"/>
              </w:rPr>
              <w:t>光源：150W稳态连续氙灯</w:t>
            </w:r>
            <w:r>
              <w:rPr>
                <w:rFonts w:hint="eastAsia"/>
                <w:highlight w:val="none"/>
                <w:lang w:eastAsia="zh-CN"/>
              </w:rPr>
              <w:t>，</w:t>
            </w:r>
            <w:r>
              <w:rPr>
                <w:highlight w:val="none"/>
                <w:lang w:eastAsia="zh-CN"/>
              </w:rPr>
              <w:t>快速</w:t>
            </w:r>
            <w:r>
              <w:rPr>
                <w:spacing w:val="-1"/>
                <w:highlight w:val="none"/>
                <w:lang w:eastAsia="zh-CN"/>
              </w:rPr>
              <w:t>精细的扫描，保证光谱信息的全面性和真实性。</w:t>
            </w:r>
          </w:p>
          <w:p w14:paraId="73D6B1E2">
            <w:pPr>
              <w:pStyle w:val="42"/>
              <w:spacing w:before="75" w:line="267" w:lineRule="auto"/>
              <w:ind w:left="151" w:right="34" w:hanging="140"/>
              <w:rPr>
                <w:spacing w:val="-1"/>
                <w:highlight w:val="none"/>
                <w:lang w:eastAsia="zh-CN"/>
              </w:rPr>
            </w:pPr>
            <w:r>
              <w:rPr>
                <w:spacing w:val="-1"/>
                <w:highlight w:val="none"/>
                <w:lang w:eastAsia="zh-CN"/>
              </w:rPr>
              <w:t>3</w:t>
            </w:r>
            <w:r>
              <w:rPr>
                <w:rFonts w:hint="eastAsia"/>
                <w:spacing w:val="-1"/>
                <w:highlight w:val="none"/>
                <w:lang w:eastAsia="zh-CN"/>
              </w:rPr>
              <w:t>.</w:t>
            </w:r>
            <w:r>
              <w:rPr>
                <w:spacing w:val="-1"/>
                <w:highlight w:val="none"/>
                <w:lang w:eastAsia="zh-CN"/>
              </w:rPr>
              <w:t>单色器：高性能激发和发射单色器，凹面光栅，闪耀波长在可见光区</w:t>
            </w:r>
            <w:r>
              <w:rPr>
                <w:rFonts w:hint="eastAsia"/>
                <w:spacing w:val="-1"/>
                <w:highlight w:val="none"/>
                <w:lang w:eastAsia="zh-CN"/>
              </w:rPr>
              <w:t>(380-750nm)，提高可见光区</w:t>
            </w:r>
            <w:r>
              <w:rPr>
                <w:spacing w:val="-1"/>
                <w:highlight w:val="none"/>
                <w:lang w:eastAsia="zh-CN"/>
              </w:rPr>
              <w:t>光</w:t>
            </w:r>
            <w:r>
              <w:rPr>
                <w:spacing w:val="-7"/>
                <w:highlight w:val="none"/>
                <w:lang w:eastAsia="zh-CN"/>
              </w:rPr>
              <w:t>通量。全息凹面光栅同时具有分光和聚焦的功能</w:t>
            </w:r>
            <w:r>
              <w:rPr>
                <w:spacing w:val="-1"/>
                <w:highlight w:val="none"/>
                <w:lang w:eastAsia="zh-CN"/>
              </w:rPr>
              <w:t>。</w:t>
            </w:r>
          </w:p>
          <w:p w14:paraId="6067A1E5">
            <w:pPr>
              <w:pStyle w:val="42"/>
              <w:spacing w:before="95" w:line="219" w:lineRule="auto"/>
              <w:ind w:left="81"/>
              <w:rPr>
                <w:b/>
                <w:bCs/>
                <w:strike/>
                <w:spacing w:val="3"/>
                <w:highlight w:val="none"/>
                <w:lang w:eastAsia="zh-CN"/>
              </w:rPr>
            </w:pPr>
            <w:r>
              <w:rPr>
                <w:highlight w:val="none"/>
                <w:lang w:eastAsia="zh-CN"/>
              </w:rPr>
              <w:t>4</w:t>
            </w:r>
            <w:r>
              <w:rPr>
                <w:rFonts w:hint="eastAsia"/>
                <w:highlight w:val="none"/>
                <w:lang w:eastAsia="zh-CN"/>
              </w:rPr>
              <w:t>.</w:t>
            </w:r>
            <w:r>
              <w:rPr>
                <w:highlight w:val="none"/>
                <w:lang w:eastAsia="zh-CN"/>
              </w:rPr>
              <w:t>检测器：光电倍增管，具有自增益功</w:t>
            </w:r>
            <w:r>
              <w:rPr>
                <w:spacing w:val="-1"/>
                <w:highlight w:val="none"/>
                <w:lang w:eastAsia="zh-CN"/>
              </w:rPr>
              <w:t>能，0~</w:t>
            </w:r>
            <w:r>
              <w:rPr>
                <w:rFonts w:hint="eastAsia"/>
                <w:spacing w:val="-1"/>
                <w:highlight w:val="none"/>
                <w:lang w:eastAsia="zh-CN"/>
              </w:rPr>
              <w:t>9</w:t>
            </w:r>
            <w:r>
              <w:rPr>
                <w:spacing w:val="-1"/>
                <w:highlight w:val="none"/>
                <w:lang w:eastAsia="zh-CN"/>
              </w:rPr>
              <w:t>00V</w:t>
            </w:r>
            <w:r>
              <w:rPr>
                <w:rFonts w:hint="eastAsia"/>
                <w:spacing w:val="-1"/>
                <w:highlight w:val="none"/>
                <w:lang w:eastAsia="zh-CN"/>
              </w:rPr>
              <w:t>或更宽范围</w:t>
            </w:r>
            <w:r>
              <w:rPr>
                <w:spacing w:val="-1"/>
                <w:highlight w:val="none"/>
                <w:lang w:eastAsia="zh-CN"/>
              </w:rPr>
              <w:t>连续可调。</w:t>
            </w:r>
          </w:p>
          <w:p w14:paraId="72A86D63">
            <w:pPr>
              <w:pStyle w:val="42"/>
              <w:spacing w:before="83" w:line="216" w:lineRule="auto"/>
              <w:rPr>
                <w:spacing w:val="-1"/>
                <w:lang w:eastAsia="zh-CN"/>
              </w:rPr>
            </w:pPr>
            <w:r>
              <w:rPr>
                <w:spacing w:val="-1"/>
                <w:highlight w:val="none"/>
                <w:lang w:eastAsia="zh-CN"/>
              </w:rPr>
              <w:t>5</w:t>
            </w:r>
            <w:r>
              <w:rPr>
                <w:rFonts w:hint="eastAsia"/>
                <w:spacing w:val="-1"/>
                <w:highlight w:val="none"/>
                <w:lang w:eastAsia="zh-CN"/>
              </w:rPr>
              <w:t>.</w:t>
            </w:r>
            <w:r>
              <w:rPr>
                <w:spacing w:val="-1"/>
                <w:highlight w:val="none"/>
                <w:lang w:eastAsia="zh-CN"/>
              </w:rPr>
              <w:t>灵敏度：背景噪声SN</w:t>
            </w:r>
            <w:r>
              <w:rPr>
                <w:rFonts w:hint="eastAsia"/>
                <w:spacing w:val="-1"/>
                <w:highlight w:val="none"/>
                <w:lang w:eastAsia="zh-CN"/>
              </w:rPr>
              <w:t>≥</w:t>
            </w:r>
            <w:r>
              <w:rPr>
                <w:spacing w:val="-1"/>
                <w:highlight w:val="none"/>
                <w:lang w:eastAsia="zh-CN"/>
              </w:rPr>
              <w:t>20000:1(RMS),使用</w:t>
            </w:r>
            <w:r>
              <w:rPr>
                <w:spacing w:val="-1"/>
                <w:lang w:eastAsia="zh-CN"/>
              </w:rPr>
              <w:t>水的拉曼峰进行测试。</w:t>
            </w:r>
          </w:p>
          <w:p w14:paraId="7FFCAAF2">
            <w:pPr>
              <w:pStyle w:val="42"/>
              <w:spacing w:before="82" w:line="307" w:lineRule="auto"/>
              <w:ind w:right="80"/>
              <w:rPr>
                <w:lang w:eastAsia="zh-CN"/>
              </w:rPr>
            </w:pPr>
            <w:r>
              <w:rPr>
                <w:spacing w:val="-1"/>
                <w:lang w:eastAsia="zh-CN"/>
              </w:rPr>
              <w:t>6</w:t>
            </w:r>
            <w:r>
              <w:rPr>
                <w:rFonts w:hint="eastAsia"/>
                <w:spacing w:val="-1"/>
                <w:lang w:eastAsia="zh-CN"/>
              </w:rPr>
              <w:t>.</w:t>
            </w:r>
            <w:r>
              <w:rPr>
                <w:spacing w:val="-1"/>
                <w:lang w:eastAsia="zh-CN"/>
              </w:rPr>
              <w:t>测量波长范围：激发(EX)200nm~900nm,包</w:t>
            </w:r>
            <w:r>
              <w:rPr>
                <w:lang w:eastAsia="zh-CN"/>
              </w:rPr>
              <w:t>含零极光；发射(EM)200nm~900 nm,包含零极</w:t>
            </w:r>
            <w:r>
              <w:rPr>
                <w:spacing w:val="-1"/>
                <w:lang w:eastAsia="zh-CN"/>
              </w:rPr>
              <w:t>光。</w:t>
            </w:r>
          </w:p>
          <w:p w14:paraId="37720270">
            <w:pPr>
              <w:pStyle w:val="42"/>
              <w:spacing w:before="1" w:line="307" w:lineRule="auto"/>
              <w:rPr>
                <w:lang w:eastAsia="zh-CN"/>
              </w:rPr>
            </w:pPr>
            <w:r>
              <w:rPr>
                <w:lang w:eastAsia="zh-CN"/>
              </w:rPr>
              <w:t>7</w:t>
            </w:r>
            <w:r>
              <w:rPr>
                <w:rFonts w:hint="eastAsia"/>
                <w:lang w:eastAsia="zh-CN"/>
              </w:rPr>
              <w:t>.</w:t>
            </w:r>
            <w:r>
              <w:rPr>
                <w:lang w:eastAsia="zh-CN"/>
              </w:rPr>
              <w:t>光谱带宽：激发1nm</w:t>
            </w:r>
            <w:r>
              <w:rPr>
                <w:rFonts w:hint="eastAsia"/>
                <w:lang w:eastAsia="zh-CN"/>
              </w:rPr>
              <w:t>至</w:t>
            </w:r>
            <w:r>
              <w:rPr>
                <w:lang w:eastAsia="zh-CN"/>
              </w:rPr>
              <w:t>20nm</w:t>
            </w:r>
            <w:r>
              <w:rPr>
                <w:rFonts w:hint="eastAsia"/>
                <w:lang w:eastAsia="zh-CN"/>
              </w:rPr>
              <w:t>五</w:t>
            </w:r>
            <w:r>
              <w:rPr>
                <w:lang w:eastAsia="zh-CN"/>
              </w:rPr>
              <w:t>档</w:t>
            </w:r>
            <w:r>
              <w:rPr>
                <w:rFonts w:hint="eastAsia"/>
                <w:lang w:eastAsia="zh-CN"/>
              </w:rPr>
              <w:t>以上</w:t>
            </w:r>
            <w:r>
              <w:rPr>
                <w:lang w:eastAsia="zh-CN"/>
              </w:rPr>
              <w:t>可选；发射1nm</w:t>
            </w:r>
            <w:r>
              <w:rPr>
                <w:rFonts w:hint="eastAsia"/>
                <w:lang w:eastAsia="zh-CN"/>
              </w:rPr>
              <w:t>至</w:t>
            </w:r>
            <w:r>
              <w:rPr>
                <w:lang w:eastAsia="zh-CN"/>
              </w:rPr>
              <w:t>20nm</w:t>
            </w:r>
            <w:r>
              <w:rPr>
                <w:rFonts w:hint="eastAsia"/>
                <w:lang w:eastAsia="zh-CN"/>
              </w:rPr>
              <w:t>五</w:t>
            </w:r>
            <w:r>
              <w:rPr>
                <w:lang w:eastAsia="zh-CN"/>
              </w:rPr>
              <w:t>档</w:t>
            </w:r>
            <w:r>
              <w:rPr>
                <w:rFonts w:hint="eastAsia"/>
                <w:lang w:eastAsia="zh-CN"/>
              </w:rPr>
              <w:t>以上</w:t>
            </w:r>
            <w:r>
              <w:rPr>
                <w:lang w:eastAsia="zh-CN"/>
              </w:rPr>
              <w:t>可选</w:t>
            </w:r>
            <w:r>
              <w:rPr>
                <w:spacing w:val="-2"/>
                <w:lang w:eastAsia="zh-CN"/>
              </w:rPr>
              <w:t>。</w:t>
            </w:r>
          </w:p>
          <w:p w14:paraId="27B97989">
            <w:pPr>
              <w:pStyle w:val="42"/>
              <w:spacing w:before="1" w:line="306" w:lineRule="auto"/>
              <w:rPr>
                <w:highlight w:val="none"/>
                <w:lang w:eastAsia="zh-CN"/>
              </w:rPr>
            </w:pPr>
            <w:r>
              <w:rPr>
                <w:spacing w:val="-4"/>
                <w:lang w:eastAsia="zh-CN"/>
              </w:rPr>
              <w:t>8</w:t>
            </w:r>
            <w:r>
              <w:rPr>
                <w:rFonts w:hint="eastAsia"/>
                <w:spacing w:val="-4"/>
                <w:lang w:eastAsia="zh-CN"/>
              </w:rPr>
              <w:t>.</w:t>
            </w:r>
            <w:r>
              <w:rPr>
                <w:spacing w:val="-4"/>
                <w:lang w:eastAsia="zh-CN"/>
              </w:rPr>
              <w:t>波长准</w:t>
            </w:r>
            <w:r>
              <w:rPr>
                <w:spacing w:val="-4"/>
                <w:highlight w:val="none"/>
                <w:lang w:eastAsia="zh-CN"/>
              </w:rPr>
              <w:t>确度：激发波长≤±1.5nm;发射波长≤±</w:t>
            </w:r>
            <w:r>
              <w:rPr>
                <w:spacing w:val="-6"/>
                <w:highlight w:val="none"/>
                <w:lang w:eastAsia="zh-CN"/>
              </w:rPr>
              <w:t>1.5nm。</w:t>
            </w:r>
          </w:p>
          <w:p w14:paraId="094BC300">
            <w:pPr>
              <w:pStyle w:val="42"/>
              <w:spacing w:before="2" w:line="269" w:lineRule="auto"/>
              <w:ind w:right="20"/>
              <w:rPr>
                <w:lang w:eastAsia="zh-CN"/>
              </w:rPr>
            </w:pPr>
            <w:r>
              <w:rPr>
                <w:lang w:eastAsia="zh-CN"/>
              </w:rPr>
              <w:t>9</w:t>
            </w:r>
            <w:r>
              <w:rPr>
                <w:rFonts w:hint="eastAsia"/>
                <w:lang w:eastAsia="zh-CN"/>
              </w:rPr>
              <w:t>.</w:t>
            </w:r>
            <w:r>
              <w:rPr>
                <w:lang w:eastAsia="zh-CN"/>
              </w:rPr>
              <w:t>波长重复性：激发波长≤1nm;发射</w:t>
            </w:r>
            <w:r>
              <w:rPr>
                <w:spacing w:val="-1"/>
                <w:lang w:eastAsia="zh-CN"/>
              </w:rPr>
              <w:t>波长≤1nm。</w:t>
            </w:r>
            <w:r>
              <w:rPr>
                <w:lang w:eastAsia="zh-CN"/>
              </w:rPr>
              <w:t xml:space="preserve"> </w:t>
            </w:r>
          </w:p>
          <w:p w14:paraId="7A424990">
            <w:pPr>
              <w:pStyle w:val="42"/>
              <w:spacing w:before="2" w:line="269" w:lineRule="auto"/>
              <w:ind w:right="20"/>
              <w:rPr>
                <w:spacing w:val="1"/>
                <w:lang w:eastAsia="zh-CN"/>
              </w:rPr>
            </w:pPr>
            <w:r>
              <w:rPr>
                <w:spacing w:val="1"/>
                <w:lang w:eastAsia="zh-CN"/>
              </w:rPr>
              <w:t>10</w:t>
            </w:r>
            <w:r>
              <w:rPr>
                <w:rFonts w:hint="eastAsia"/>
                <w:spacing w:val="1"/>
                <w:lang w:eastAsia="zh-CN"/>
              </w:rPr>
              <w:t>.</w:t>
            </w:r>
            <w:r>
              <w:rPr>
                <w:spacing w:val="1"/>
                <w:lang w:eastAsia="zh-CN"/>
              </w:rPr>
              <w:t>光谱分辨率：≤1</w:t>
            </w:r>
            <w:r>
              <w:rPr>
                <w:lang w:eastAsia="zh-CN"/>
              </w:rPr>
              <w:t>nm</w:t>
            </w:r>
            <w:r>
              <w:rPr>
                <w:spacing w:val="1"/>
                <w:lang w:eastAsia="zh-CN"/>
              </w:rPr>
              <w:t>。</w:t>
            </w:r>
          </w:p>
          <w:p w14:paraId="6AD0A5A6">
            <w:pPr>
              <w:pStyle w:val="42"/>
              <w:spacing w:before="85" w:line="220" w:lineRule="auto"/>
              <w:rPr>
                <w:lang w:eastAsia="zh-CN"/>
              </w:rPr>
            </w:pPr>
            <w:r>
              <w:rPr>
                <w:lang w:eastAsia="zh-CN"/>
              </w:rPr>
              <w:t>11</w:t>
            </w:r>
            <w:r>
              <w:rPr>
                <w:rFonts w:hint="eastAsia"/>
                <w:lang w:eastAsia="zh-CN"/>
              </w:rPr>
              <w:t>.</w:t>
            </w:r>
            <w:r>
              <w:rPr>
                <w:lang w:eastAsia="zh-CN"/>
              </w:rPr>
              <w:t>扫描间隔：0.1~10.0nm和自</w:t>
            </w:r>
            <w:r>
              <w:rPr>
                <w:spacing w:val="-1"/>
                <w:lang w:eastAsia="zh-CN"/>
              </w:rPr>
              <w:t>动。</w:t>
            </w:r>
          </w:p>
          <w:p w14:paraId="3091EB17">
            <w:pPr>
              <w:pStyle w:val="42"/>
              <w:spacing w:before="78" w:line="267" w:lineRule="auto"/>
              <w:rPr>
                <w:lang w:eastAsia="zh-CN"/>
              </w:rPr>
            </w:pPr>
            <w:r>
              <w:rPr>
                <w:spacing w:val="-4"/>
                <w:lang w:eastAsia="zh-CN"/>
              </w:rPr>
              <w:t>12</w:t>
            </w:r>
            <w:r>
              <w:rPr>
                <w:rFonts w:hint="eastAsia"/>
                <w:spacing w:val="-4"/>
                <w:lang w:eastAsia="zh-CN"/>
              </w:rPr>
              <w:t>.</w:t>
            </w:r>
            <w:r>
              <w:rPr>
                <w:spacing w:val="-4"/>
                <w:lang w:eastAsia="zh-CN"/>
              </w:rPr>
              <w:t>荧光信号范围同等或优于：-10000~50000,分</w:t>
            </w:r>
            <w:r>
              <w:rPr>
                <w:lang w:eastAsia="zh-CN"/>
              </w:rPr>
              <w:t>辨率</w:t>
            </w:r>
            <w:r>
              <w:rPr>
                <w:rFonts w:hint="eastAsia"/>
                <w:lang w:eastAsia="zh-CN"/>
              </w:rPr>
              <w:t>≤</w:t>
            </w:r>
            <w:r>
              <w:rPr>
                <w:lang w:eastAsia="zh-CN"/>
              </w:rPr>
              <w:t>0.001。</w:t>
            </w:r>
          </w:p>
          <w:p w14:paraId="4AC71174">
            <w:pPr>
              <w:pStyle w:val="42"/>
              <w:spacing w:before="92" w:line="302" w:lineRule="auto"/>
              <w:rPr>
                <w:spacing w:val="-1"/>
                <w:lang w:eastAsia="zh-CN"/>
              </w:rPr>
            </w:pPr>
            <w:r>
              <w:rPr>
                <w:spacing w:val="-4"/>
                <w:lang w:eastAsia="zh-CN"/>
              </w:rPr>
              <w:t>13</w:t>
            </w:r>
            <w:r>
              <w:rPr>
                <w:rFonts w:hint="eastAsia"/>
                <w:spacing w:val="-4"/>
                <w:lang w:eastAsia="zh-CN"/>
              </w:rPr>
              <w:t>.</w:t>
            </w:r>
            <w:r>
              <w:rPr>
                <w:spacing w:val="-4"/>
                <w:lang w:eastAsia="zh-CN"/>
              </w:rPr>
              <w:t>最大波长扫描速度≥60,000nm/min;波长驱动</w:t>
            </w:r>
            <w:r>
              <w:rPr>
                <w:spacing w:val="18"/>
                <w:lang w:eastAsia="zh-CN"/>
              </w:rPr>
              <w:t xml:space="preserve"> </w:t>
            </w:r>
            <w:r>
              <w:rPr>
                <w:spacing w:val="-1"/>
                <w:lang w:eastAsia="zh-CN"/>
              </w:rPr>
              <w:t>速度≥60,000nm/min。</w:t>
            </w:r>
          </w:p>
          <w:p w14:paraId="6DB4EC53">
            <w:pPr>
              <w:pStyle w:val="42"/>
              <w:spacing w:before="9" w:line="305" w:lineRule="auto"/>
              <w:rPr>
                <w:lang w:eastAsia="zh-CN"/>
              </w:rPr>
            </w:pPr>
            <w:r>
              <w:rPr>
                <w:spacing w:val="-8"/>
                <w:lang w:eastAsia="zh-CN"/>
              </w:rPr>
              <w:t>14</w:t>
            </w:r>
            <w:r>
              <w:rPr>
                <w:rFonts w:hint="eastAsia"/>
                <w:spacing w:val="-8"/>
                <w:lang w:eastAsia="zh-CN"/>
              </w:rPr>
              <w:t>.</w:t>
            </w:r>
            <w:r>
              <w:rPr>
                <w:spacing w:val="-8"/>
                <w:lang w:eastAsia="zh-CN"/>
              </w:rPr>
              <w:t>响应时间：所有光谱的采集信号根</w:t>
            </w:r>
            <w:r>
              <w:rPr>
                <w:spacing w:val="-9"/>
                <w:lang w:eastAsia="zh-CN"/>
              </w:rPr>
              <w:t>据测试参数</w:t>
            </w:r>
            <w:r>
              <w:rPr>
                <w:lang w:eastAsia="zh-CN"/>
              </w:rPr>
              <w:t>的设置均为软件自动响应(自动调整至最佳信号响</w:t>
            </w:r>
            <w:r>
              <w:rPr>
                <w:spacing w:val="-1"/>
                <w:lang w:eastAsia="zh-CN"/>
              </w:rPr>
              <w:t>应),无需手动设置。</w:t>
            </w:r>
          </w:p>
          <w:p w14:paraId="622A9123">
            <w:pPr>
              <w:pStyle w:val="42"/>
              <w:spacing w:before="7" w:line="305" w:lineRule="auto"/>
              <w:rPr>
                <w:lang w:eastAsia="zh-CN"/>
              </w:rPr>
            </w:pPr>
            <w:r>
              <w:rPr>
                <w:spacing w:val="-8"/>
                <w:lang w:eastAsia="zh-CN"/>
              </w:rPr>
              <w:t>15</w:t>
            </w:r>
            <w:r>
              <w:rPr>
                <w:rFonts w:hint="eastAsia"/>
                <w:spacing w:val="-8"/>
                <w:lang w:eastAsia="zh-CN"/>
              </w:rPr>
              <w:t>.</w:t>
            </w:r>
            <w:r>
              <w:rPr>
                <w:spacing w:val="-8"/>
                <w:lang w:eastAsia="zh-CN"/>
              </w:rPr>
              <w:t>各模式测试时标配荧光信号检测功</w:t>
            </w:r>
            <w:r>
              <w:rPr>
                <w:spacing w:val="-9"/>
                <w:lang w:eastAsia="zh-CN"/>
              </w:rPr>
              <w:t>能，有效判断荧光信号的强度，优化荧光信号输出，确保为</w:t>
            </w:r>
            <w:r>
              <w:rPr>
                <w:spacing w:val="-1"/>
                <w:lang w:eastAsia="zh-CN"/>
              </w:rPr>
              <w:t>样品自动而快速地选择最佳激发和发射波长；自动</w:t>
            </w:r>
            <w:r>
              <w:rPr>
                <w:spacing w:val="-9"/>
                <w:lang w:eastAsia="zh-CN"/>
              </w:rPr>
              <w:t>调零功能，进行系统暗电流噪声的校正，提高仪器的灵敏度；自动化控制光源的开启，拥有光源自动</w:t>
            </w:r>
            <w:r>
              <w:rPr>
                <w:spacing w:val="-1"/>
                <w:lang w:eastAsia="zh-CN"/>
              </w:rPr>
              <w:t>休眠模式，兼顾测试使用和光源寿命。</w:t>
            </w:r>
          </w:p>
          <w:p w14:paraId="0A7EACCF">
            <w:pPr>
              <w:pStyle w:val="42"/>
              <w:spacing w:before="7" w:line="305" w:lineRule="auto"/>
              <w:rPr>
                <w:spacing w:val="-1"/>
                <w:lang w:eastAsia="zh-CN"/>
              </w:rPr>
            </w:pPr>
            <w:r>
              <w:rPr>
                <w:spacing w:val="-1"/>
                <w:lang w:eastAsia="zh-CN"/>
              </w:rPr>
              <w:t>16</w:t>
            </w:r>
            <w:r>
              <w:rPr>
                <w:rFonts w:hint="eastAsia"/>
                <w:spacing w:val="-1"/>
                <w:lang w:eastAsia="zh-CN"/>
              </w:rPr>
              <w:t>.</w:t>
            </w:r>
            <w:r>
              <w:rPr>
                <w:spacing w:val="-1"/>
                <w:lang w:eastAsia="zh-CN"/>
              </w:rPr>
              <w:t>光谱校正功能：激发侧全波段采用实时动态扣除光源背景的信号。</w:t>
            </w:r>
          </w:p>
          <w:p w14:paraId="01497FFB">
            <w:pPr>
              <w:pStyle w:val="42"/>
              <w:spacing w:before="7" w:line="305" w:lineRule="auto"/>
              <w:rPr>
                <w:spacing w:val="-1"/>
                <w:lang w:eastAsia="zh-CN"/>
              </w:rPr>
            </w:pPr>
            <w:r>
              <w:rPr>
                <w:spacing w:val="-1"/>
                <w:lang w:eastAsia="zh-CN"/>
              </w:rPr>
              <w:t>17</w:t>
            </w:r>
            <w:r>
              <w:rPr>
                <w:rFonts w:hint="eastAsia"/>
                <w:spacing w:val="-1"/>
                <w:lang w:eastAsia="zh-CN"/>
              </w:rPr>
              <w:t>.</w:t>
            </w:r>
            <w:r>
              <w:rPr>
                <w:spacing w:val="-1"/>
                <w:lang w:eastAsia="zh-CN"/>
              </w:rPr>
              <w:t>样品仓外侧预留开孔，方便进行高功率光源耦合。</w:t>
            </w:r>
          </w:p>
          <w:p w14:paraId="451C79E4">
            <w:pPr>
              <w:pStyle w:val="42"/>
              <w:spacing w:before="7" w:line="305" w:lineRule="auto"/>
              <w:rPr>
                <w:spacing w:val="-1"/>
                <w:lang w:eastAsia="zh-CN"/>
              </w:rPr>
            </w:pPr>
            <w:r>
              <w:rPr>
                <w:spacing w:val="-1"/>
                <w:lang w:eastAsia="zh-CN"/>
              </w:rPr>
              <w:t>二、软件</w:t>
            </w:r>
            <w:r>
              <w:rPr>
                <w:rFonts w:hint="eastAsia"/>
                <w:spacing w:val="-1"/>
                <w:lang w:eastAsia="zh-CN"/>
              </w:rPr>
              <w:t>模块</w:t>
            </w:r>
          </w:p>
          <w:p w14:paraId="14C2C00B">
            <w:pPr>
              <w:pStyle w:val="42"/>
              <w:spacing w:before="7" w:line="305" w:lineRule="auto"/>
              <w:rPr>
                <w:spacing w:val="-1"/>
                <w:lang w:eastAsia="zh-CN"/>
              </w:rPr>
            </w:pPr>
            <w:r>
              <w:rPr>
                <w:spacing w:val="-1"/>
                <w:lang w:eastAsia="zh-CN"/>
              </w:rPr>
              <w:t>1</w:t>
            </w:r>
            <w:r>
              <w:rPr>
                <w:rFonts w:hint="eastAsia"/>
                <w:spacing w:val="-1"/>
                <w:lang w:eastAsia="zh-CN"/>
              </w:rPr>
              <w:t>.</w:t>
            </w:r>
            <w:r>
              <w:rPr>
                <w:spacing w:val="-1"/>
                <w:lang w:eastAsia="zh-CN"/>
              </w:rPr>
              <w:t>主机由软件</w:t>
            </w:r>
            <w:r>
              <w:rPr>
                <w:rFonts w:hint="eastAsia"/>
                <w:spacing w:val="-1"/>
                <w:lang w:eastAsia="zh-CN"/>
              </w:rPr>
              <w:t>模块</w:t>
            </w:r>
            <w:r>
              <w:rPr>
                <w:spacing w:val="-1"/>
                <w:lang w:eastAsia="zh-CN"/>
              </w:rPr>
              <w:t>控制，中、英文操作界面可选(软件一键切换),Windows环境下工作。仪器状态、荧光强度、激发和发射波长、光谱带宽等测试信息可实时显示。</w:t>
            </w:r>
          </w:p>
          <w:p w14:paraId="2E01134D">
            <w:pPr>
              <w:pStyle w:val="42"/>
              <w:spacing w:before="7" w:line="305" w:lineRule="auto"/>
              <w:rPr>
                <w:spacing w:val="-1"/>
                <w:lang w:eastAsia="zh-CN"/>
              </w:rPr>
            </w:pPr>
            <w:r>
              <w:rPr>
                <w:spacing w:val="-1"/>
                <w:lang w:eastAsia="zh-CN"/>
              </w:rPr>
              <w:t>2</w:t>
            </w:r>
            <w:r>
              <w:rPr>
                <w:rFonts w:hint="eastAsia"/>
                <w:spacing w:val="-1"/>
                <w:lang w:eastAsia="zh-CN"/>
              </w:rPr>
              <w:t>.</w:t>
            </w:r>
            <w:r>
              <w:rPr>
                <w:spacing w:val="-1"/>
                <w:lang w:eastAsia="zh-CN"/>
              </w:rPr>
              <w:t>软件具有以下图谱处理功能：归一化、平滑、微分、积分、四则运算、峰谷示值、归一化(至1)等。</w:t>
            </w:r>
          </w:p>
          <w:p w14:paraId="5D221018">
            <w:pPr>
              <w:pStyle w:val="42"/>
              <w:spacing w:before="7" w:line="305" w:lineRule="auto"/>
              <w:rPr>
                <w:spacing w:val="-1"/>
                <w:lang w:eastAsia="zh-CN"/>
              </w:rPr>
            </w:pPr>
            <w:r>
              <w:rPr>
                <w:spacing w:val="-1"/>
                <w:lang w:eastAsia="zh-CN"/>
              </w:rPr>
              <w:t>3</w:t>
            </w:r>
            <w:r>
              <w:rPr>
                <w:rFonts w:hint="eastAsia"/>
                <w:spacing w:val="-1"/>
                <w:lang w:eastAsia="zh-CN"/>
              </w:rPr>
              <w:t>.</w:t>
            </w:r>
            <w:r>
              <w:rPr>
                <w:spacing w:val="-1"/>
                <w:lang w:eastAsia="zh-CN"/>
              </w:rPr>
              <w:t>图谱保存和导出；图谱窗口处理；一键式数据导入(CSV或ACSII格式数据直接图谱显示)</w:t>
            </w:r>
            <w:r>
              <w:rPr>
                <w:rFonts w:hint="eastAsia"/>
                <w:spacing w:val="-1"/>
                <w:lang w:eastAsia="zh-CN"/>
              </w:rPr>
              <w:t>；</w:t>
            </w:r>
            <w:r>
              <w:rPr>
                <w:spacing w:val="-1"/>
                <w:lang w:eastAsia="zh-CN"/>
              </w:rPr>
              <w:t>绘制标准曲线；手动输入标准曲线；激发扫描、发射扫描、同步扫描、3D扫描、动力学测量、定量测量、 各向异性测量。</w:t>
            </w:r>
          </w:p>
          <w:p w14:paraId="5F09B2AF">
            <w:pPr>
              <w:pStyle w:val="42"/>
              <w:spacing w:before="7" w:line="305" w:lineRule="auto"/>
              <w:rPr>
                <w:spacing w:val="-1"/>
                <w:lang w:eastAsia="zh-CN"/>
              </w:rPr>
            </w:pPr>
            <w:r>
              <w:rPr>
                <w:spacing w:val="-1"/>
                <w:lang w:eastAsia="zh-CN"/>
              </w:rPr>
              <w:t>4</w:t>
            </w:r>
            <w:r>
              <w:rPr>
                <w:rFonts w:hint="eastAsia"/>
                <w:spacing w:val="-1"/>
                <w:lang w:eastAsia="zh-CN"/>
              </w:rPr>
              <w:t>.</w:t>
            </w:r>
            <w:r>
              <w:rPr>
                <w:spacing w:val="-1"/>
                <w:lang w:eastAsia="zh-CN"/>
              </w:rPr>
              <w:t>自动仪器性能自检(包含波长准确度、信噪比、 稳定性、漂移等),三维扫描时间指示。</w:t>
            </w:r>
          </w:p>
          <w:p w14:paraId="38D03FAF">
            <w:pPr>
              <w:pStyle w:val="42"/>
              <w:spacing w:before="7" w:line="305" w:lineRule="auto"/>
              <w:rPr>
                <w:spacing w:val="-1"/>
                <w:lang w:eastAsia="zh-CN"/>
              </w:rPr>
            </w:pPr>
            <w:r>
              <w:rPr>
                <w:spacing w:val="-1"/>
                <w:lang w:eastAsia="zh-CN"/>
              </w:rPr>
              <w:t>三、</w:t>
            </w:r>
            <w:r>
              <w:rPr>
                <w:rFonts w:hint="eastAsia"/>
                <w:spacing w:val="-1"/>
                <w:lang w:eastAsia="zh-CN"/>
              </w:rPr>
              <w:t>其他配件</w:t>
            </w:r>
          </w:p>
          <w:p w14:paraId="7B3375E2">
            <w:pPr>
              <w:pStyle w:val="42"/>
              <w:spacing w:before="7" w:line="305" w:lineRule="auto"/>
              <w:rPr>
                <w:spacing w:val="-1"/>
                <w:highlight w:val="none"/>
                <w:lang w:eastAsia="zh-CN"/>
              </w:rPr>
            </w:pPr>
            <w:r>
              <w:rPr>
                <w:spacing w:val="-1"/>
                <w:lang w:eastAsia="zh-CN"/>
              </w:rPr>
              <w:t>1</w:t>
            </w:r>
            <w:r>
              <w:rPr>
                <w:rFonts w:hint="eastAsia"/>
                <w:spacing w:val="-1"/>
                <w:lang w:eastAsia="zh-CN"/>
              </w:rPr>
              <w:t>.标准液体池</w:t>
            </w:r>
            <w:r>
              <w:rPr>
                <w:rFonts w:hint="eastAsia"/>
                <w:spacing w:val="-1"/>
                <w:highlight w:val="none"/>
                <w:lang w:eastAsia="zh-CN"/>
              </w:rPr>
              <w:t>支架，金属材质，适用于标准荧光石英比色皿，1</w:t>
            </w:r>
            <w:r>
              <w:rPr>
                <w:rFonts w:hint="eastAsia"/>
                <w:spacing w:val="-1"/>
                <w:highlight w:val="none"/>
                <w:lang w:val="en-US" w:eastAsia="zh-CN"/>
              </w:rPr>
              <w:t>0m</w:t>
            </w:r>
            <w:r>
              <w:rPr>
                <w:rFonts w:hint="eastAsia"/>
                <w:spacing w:val="-1"/>
                <w:highlight w:val="none"/>
                <w:lang w:eastAsia="zh-CN"/>
              </w:rPr>
              <w:t>m</w:t>
            </w:r>
            <w:r>
              <w:rPr>
                <w:rFonts w:hint="default" w:ascii="Arial" w:hAnsi="Arial" w:cs="Arial"/>
                <w:spacing w:val="-1"/>
                <w:highlight w:val="none"/>
                <w:lang w:eastAsia="zh-CN"/>
              </w:rPr>
              <w:t>×</w:t>
            </w:r>
            <w:r>
              <w:rPr>
                <w:rFonts w:hint="eastAsia"/>
                <w:spacing w:val="-1"/>
                <w:highlight w:val="none"/>
                <w:lang w:eastAsia="zh-CN"/>
              </w:rPr>
              <w:t>1</w:t>
            </w:r>
            <w:r>
              <w:rPr>
                <w:rFonts w:hint="eastAsia"/>
                <w:spacing w:val="-1"/>
                <w:highlight w:val="none"/>
                <w:lang w:val="en-US" w:eastAsia="zh-CN"/>
              </w:rPr>
              <w:t>0m</w:t>
            </w:r>
            <w:r>
              <w:rPr>
                <w:rFonts w:hint="eastAsia"/>
                <w:spacing w:val="-1"/>
                <w:highlight w:val="none"/>
                <w:lang w:eastAsia="zh-CN"/>
              </w:rPr>
              <w:t>m）1套。</w:t>
            </w:r>
          </w:p>
          <w:p w14:paraId="16E42532">
            <w:pPr>
              <w:pStyle w:val="42"/>
              <w:spacing w:before="7" w:line="305" w:lineRule="auto"/>
              <w:rPr>
                <w:sz w:val="18"/>
                <w:szCs w:val="18"/>
                <w:lang w:eastAsia="zh-CN"/>
              </w:rPr>
            </w:pPr>
            <w:r>
              <w:rPr>
                <w:spacing w:val="-1"/>
                <w:lang w:eastAsia="zh-CN"/>
              </w:rPr>
              <w:t>2</w:t>
            </w:r>
            <w:r>
              <w:rPr>
                <w:rFonts w:hint="eastAsia"/>
                <w:spacing w:val="-1"/>
                <w:lang w:eastAsia="zh-CN"/>
              </w:rPr>
              <w:t>.10mm光程</w:t>
            </w:r>
            <w:r>
              <w:rPr>
                <w:spacing w:val="-1"/>
                <w:lang w:eastAsia="zh-CN"/>
              </w:rPr>
              <w:t>荧光比色皿1个。</w:t>
            </w:r>
          </w:p>
        </w:tc>
        <w:tc>
          <w:tcPr>
            <w:tcW w:w="375" w:type="dxa"/>
            <w:noWrap/>
          </w:tcPr>
          <w:p w14:paraId="1AB08FDC">
            <w:pPr>
              <w:widowControl/>
              <w:rPr>
                <w:rFonts w:ascii="Arial" w:hAnsi="Arial" w:cs="Arial"/>
                <w:kern w:val="0"/>
                <w:szCs w:val="21"/>
              </w:rPr>
            </w:pPr>
            <w:r>
              <w:rPr>
                <w:rFonts w:hint="eastAsia" w:ascii="Arial" w:hAnsi="Arial" w:cs="Arial"/>
                <w:kern w:val="0"/>
                <w:szCs w:val="21"/>
              </w:rPr>
              <w:t>1</w:t>
            </w:r>
          </w:p>
        </w:tc>
        <w:tc>
          <w:tcPr>
            <w:tcW w:w="465" w:type="dxa"/>
            <w:noWrap/>
          </w:tcPr>
          <w:p w14:paraId="2339F74B">
            <w:pPr>
              <w:widowControl/>
              <w:rPr>
                <w:rFonts w:ascii="Arial" w:hAnsi="Arial" w:cs="Arial"/>
                <w:kern w:val="0"/>
                <w:szCs w:val="21"/>
              </w:rPr>
            </w:pPr>
            <w:r>
              <w:rPr>
                <w:rFonts w:hint="eastAsia" w:ascii="Arial" w:hAnsi="Arial" w:cs="Arial"/>
                <w:kern w:val="0"/>
                <w:szCs w:val="21"/>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top"/>
          </w:tcPr>
          <w:p w14:paraId="53C54A08">
            <w:pPr>
              <w:widowControl/>
              <w:jc w:val="center"/>
              <w:rPr>
                <w:rFonts w:ascii="宋体" w:hAnsi="宋体" w:eastAsia="宋体" w:cs="宋体"/>
                <w:spacing w:val="-1"/>
                <w:kern w:val="2"/>
                <w:sz w:val="19"/>
                <w:szCs w:val="19"/>
                <w:lang w:val="en-US" w:eastAsia="zh-CN" w:bidi="ar-SA"/>
              </w:rPr>
            </w:pPr>
            <w:r>
              <w:rPr>
                <w:rFonts w:ascii="宋体" w:hAnsi="宋体" w:eastAsia="宋体" w:cs="宋体"/>
                <w:spacing w:val="-1"/>
                <w:kern w:val="2"/>
                <w:sz w:val="19"/>
                <w:szCs w:val="19"/>
                <w:lang w:val="en-US" w:eastAsia="zh-CN" w:bidi="ar-SA"/>
              </w:rPr>
              <w:t>商务要求</w:t>
            </w:r>
          </w:p>
        </w:tc>
        <w:tc>
          <w:tcPr>
            <w:tcW w:w="8599" w:type="dxa"/>
            <w:gridSpan w:val="3"/>
            <w:noWrap/>
          </w:tcPr>
          <w:p w14:paraId="4EBDE69D">
            <w:pPr>
              <w:spacing w:line="360" w:lineRule="auto"/>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1.供货时间：自合同签订之日起30 日内验收合格并交付使用。</w:t>
            </w:r>
          </w:p>
          <w:p w14:paraId="5E532021">
            <w:pPr>
              <w:spacing w:line="360" w:lineRule="auto"/>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质保期：自验收合格并交付使用之日起 1 年。</w:t>
            </w:r>
          </w:p>
          <w:p w14:paraId="71A1955F">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2.技术支持和服务要求</w:t>
            </w:r>
          </w:p>
          <w:p w14:paraId="43DE3292">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（1）本</w:t>
            </w:r>
            <w:r>
              <w:rPr>
                <w:rFonts w:ascii="宋体" w:hAnsi="宋体" w:eastAsia="宋体" w:cs="宋体"/>
                <w:spacing w:val="-1"/>
                <w:kern w:val="2"/>
                <w:sz w:val="19"/>
                <w:szCs w:val="19"/>
                <w:lang w:val="en-US" w:eastAsia="zh-CN" w:bidi="ar-SA"/>
              </w:rPr>
              <w:t>项目所提供的全部货物（含硬件、软件及服务）必须完全满足</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文件所述要求，如中标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在</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文件中有承诺正偏离的应按其正偏离内容执行。</w:t>
            </w:r>
          </w:p>
          <w:p w14:paraId="2A730F64">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（2）本</w:t>
            </w:r>
            <w:r>
              <w:rPr>
                <w:rFonts w:ascii="宋体" w:hAnsi="宋体" w:eastAsia="宋体" w:cs="宋体"/>
                <w:spacing w:val="-1"/>
                <w:kern w:val="2"/>
                <w:sz w:val="19"/>
                <w:szCs w:val="19"/>
                <w:lang w:val="en-US" w:eastAsia="zh-CN" w:bidi="ar-SA"/>
              </w:rPr>
              <w:t>项目所提供的全部货物</w:t>
            </w:r>
            <w:r>
              <w:rPr>
                <w:rFonts w:hint="eastAsia" w:ascii="宋体" w:hAnsi="宋体" w:eastAsia="宋体" w:cs="宋体"/>
                <w:spacing w:val="-1"/>
                <w:kern w:val="2"/>
                <w:sz w:val="19"/>
                <w:szCs w:val="19"/>
                <w:lang w:val="en-US" w:eastAsia="zh-CN" w:bidi="ar-SA"/>
              </w:rPr>
              <w:t>必须是全新完好的、符合国家及行业相关标准、可追溯并享受原厂售后服务的正规合格产品</w:t>
            </w:r>
            <w:r>
              <w:rPr>
                <w:rFonts w:ascii="宋体" w:hAnsi="宋体" w:eastAsia="宋体" w:cs="宋体"/>
                <w:spacing w:val="-1"/>
                <w:kern w:val="2"/>
                <w:sz w:val="19"/>
                <w:szCs w:val="19"/>
                <w:lang w:val="en-US" w:eastAsia="zh-CN" w:bidi="ar-SA"/>
              </w:rPr>
              <w:t>。</w:t>
            </w:r>
            <w:r>
              <w:rPr>
                <w:rFonts w:hint="eastAsia" w:ascii="宋体" w:hAnsi="宋体" w:eastAsia="宋体" w:cs="宋体"/>
                <w:spacing w:val="-1"/>
                <w:kern w:val="2"/>
                <w:sz w:val="19"/>
                <w:szCs w:val="19"/>
                <w:lang w:val="en-US" w:eastAsia="zh-CN" w:bidi="ar-SA"/>
              </w:rPr>
              <w:t>若产品在运输过程中损坏须无偿调换同样产品，以达到供货要求。国家有关规定报价人承诺实行“三包”（包退、包换、包修）服务，其他售后服务按成交人提交的售后服务承诺书执行。</w:t>
            </w:r>
            <w:r>
              <w:rPr>
                <w:rFonts w:ascii="宋体" w:hAnsi="宋体" w:eastAsia="宋体" w:cs="宋体"/>
                <w:spacing w:val="-1"/>
                <w:kern w:val="2"/>
                <w:sz w:val="19"/>
                <w:szCs w:val="19"/>
                <w:lang w:val="en-US" w:eastAsia="zh-CN" w:bidi="ar-SA"/>
              </w:rPr>
              <w:t>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售后服务中维护使用的备品备件及易损件须为原厂全新配件，未经采购人同意不得使用非原厂配件。且进行维护的人员须为中标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认可的有资质专业技术人员。</w:t>
            </w:r>
          </w:p>
          <w:p w14:paraId="391EDD6F">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w:t>
            </w:r>
            <w:r>
              <w:rPr>
                <w:rFonts w:ascii="宋体" w:hAnsi="宋体" w:eastAsia="宋体" w:cs="宋体"/>
                <w:spacing w:val="-1"/>
                <w:kern w:val="2"/>
                <w:sz w:val="19"/>
                <w:szCs w:val="19"/>
                <w:lang w:val="en-US" w:eastAsia="zh-CN" w:bidi="ar-SA"/>
              </w:rPr>
              <w:t>对于</w:t>
            </w:r>
            <w:r>
              <w:rPr>
                <w:rFonts w:hint="eastAsia" w:ascii="宋体" w:hAnsi="宋体" w:eastAsia="宋体" w:cs="宋体"/>
                <w:spacing w:val="-1"/>
                <w:kern w:val="2"/>
                <w:sz w:val="19"/>
                <w:szCs w:val="19"/>
                <w:lang w:val="en-US" w:eastAsia="zh-CN" w:bidi="ar-SA"/>
              </w:rPr>
              <w:t>采购文件中定制货物，报价人必须在报价文件中列出所投货物重要组件的品牌型号；</w:t>
            </w:r>
            <w:r>
              <w:rPr>
                <w:rFonts w:ascii="宋体" w:hAnsi="宋体" w:eastAsia="宋体" w:cs="宋体"/>
                <w:spacing w:val="-1"/>
                <w:kern w:val="2"/>
                <w:sz w:val="19"/>
                <w:szCs w:val="19"/>
                <w:lang w:val="en-US" w:eastAsia="zh-CN" w:bidi="ar-SA"/>
              </w:rPr>
              <w:t>在送达采购人指定地点时已完成组装的定制货物，由于其组装状态，难以对货物的重要组件进行核实，</w:t>
            </w:r>
            <w:r>
              <w:rPr>
                <w:rFonts w:hint="eastAsia" w:ascii="宋体" w:hAnsi="宋体" w:eastAsia="宋体" w:cs="宋体"/>
                <w:spacing w:val="-1"/>
                <w:kern w:val="2"/>
                <w:sz w:val="19"/>
                <w:szCs w:val="19"/>
                <w:lang w:val="en-US" w:eastAsia="zh-CN" w:bidi="ar-SA"/>
              </w:rPr>
              <w:t>报价人必须</w:t>
            </w:r>
            <w:r>
              <w:rPr>
                <w:rFonts w:ascii="宋体" w:hAnsi="宋体" w:eastAsia="宋体" w:cs="宋体"/>
                <w:spacing w:val="-1"/>
                <w:kern w:val="2"/>
                <w:sz w:val="19"/>
                <w:szCs w:val="19"/>
                <w:lang w:val="en-US" w:eastAsia="zh-CN" w:bidi="ar-SA"/>
              </w:rPr>
              <w:t>在上述货物生产组装前十个工作日书面告知采购人，采购人可根据项目实际情况，到生产厂家进行预验收，以便确认所供货物是否按合同约定采用相应的组件</w:t>
            </w:r>
            <w:r>
              <w:rPr>
                <w:rFonts w:hint="eastAsia" w:ascii="宋体" w:hAnsi="宋体" w:eastAsia="宋体" w:cs="宋体"/>
                <w:spacing w:val="-1"/>
                <w:kern w:val="2"/>
                <w:sz w:val="19"/>
                <w:szCs w:val="19"/>
                <w:lang w:val="en-US" w:eastAsia="zh-CN" w:bidi="ar-SA"/>
              </w:rPr>
              <w:t>、生产工艺及</w:t>
            </w:r>
            <w:r>
              <w:rPr>
                <w:rFonts w:ascii="宋体" w:hAnsi="宋体" w:eastAsia="宋体" w:cs="宋体"/>
                <w:spacing w:val="-1"/>
                <w:kern w:val="2"/>
                <w:sz w:val="19"/>
                <w:szCs w:val="19"/>
                <w:lang w:val="en-US" w:eastAsia="zh-CN" w:bidi="ar-SA"/>
              </w:rPr>
              <w:t>参数是否达到合同约定，费用含在</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报价中。</w:t>
            </w:r>
          </w:p>
          <w:p w14:paraId="04CFD601">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（4）</w:t>
            </w:r>
            <w:r>
              <w:rPr>
                <w:rFonts w:ascii="宋体" w:hAnsi="宋体" w:eastAsia="宋体" w:cs="宋体"/>
                <w:spacing w:val="-1"/>
                <w:kern w:val="2"/>
                <w:sz w:val="19"/>
                <w:szCs w:val="19"/>
                <w:lang w:val="en-US" w:eastAsia="zh-CN" w:bidi="ar-SA"/>
              </w:rPr>
              <w:t>本项目所含软件（如有）必须为符合采购人适用范围的正版软件（非试用版），</w:t>
            </w:r>
            <w:r>
              <w:rPr>
                <w:rFonts w:hint="eastAsia" w:ascii="宋体" w:hAnsi="宋体" w:eastAsia="宋体" w:cs="宋体"/>
                <w:spacing w:val="-1"/>
                <w:kern w:val="2"/>
                <w:sz w:val="19"/>
                <w:szCs w:val="19"/>
                <w:lang w:val="en-US" w:eastAsia="zh-CN" w:bidi="ar-SA"/>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5AEDA692">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6、</w:t>
            </w:r>
            <w:r>
              <w:rPr>
                <w:rFonts w:ascii="宋体" w:hAnsi="宋体" w:eastAsia="宋体" w:cs="宋体"/>
                <w:spacing w:val="-1"/>
                <w:kern w:val="2"/>
                <w:sz w:val="19"/>
                <w:szCs w:val="19"/>
                <w:lang w:val="en-US" w:eastAsia="zh-CN" w:bidi="ar-SA"/>
              </w:rPr>
              <w:t>本项目</w:t>
            </w:r>
            <w:r>
              <w:rPr>
                <w:rFonts w:hint="eastAsia" w:ascii="宋体" w:hAnsi="宋体" w:eastAsia="宋体" w:cs="宋体"/>
                <w:spacing w:val="-1"/>
                <w:kern w:val="2"/>
                <w:sz w:val="19"/>
                <w:szCs w:val="19"/>
                <w:lang w:val="en-US" w:eastAsia="zh-CN" w:bidi="ar-SA"/>
              </w:rPr>
              <w:t>如有</w:t>
            </w:r>
            <w:r>
              <w:rPr>
                <w:rFonts w:ascii="宋体" w:hAnsi="宋体" w:eastAsia="宋体" w:cs="宋体"/>
                <w:spacing w:val="-1"/>
                <w:kern w:val="2"/>
                <w:sz w:val="19"/>
                <w:szCs w:val="19"/>
                <w:lang w:val="en-US" w:eastAsia="zh-CN" w:bidi="ar-SA"/>
              </w:rPr>
              <w:t>软件（</w:t>
            </w:r>
            <w:r>
              <w:rPr>
                <w:rFonts w:hint="eastAsia" w:ascii="宋体" w:hAnsi="宋体" w:eastAsia="宋体" w:cs="宋体"/>
                <w:spacing w:val="-1"/>
                <w:kern w:val="2"/>
                <w:sz w:val="19"/>
                <w:szCs w:val="19"/>
                <w:lang w:val="en-US" w:eastAsia="zh-CN" w:bidi="ar-SA"/>
              </w:rPr>
              <w:t>不包括随机出厂预装</w:t>
            </w:r>
            <w:r>
              <w:rPr>
                <w:rFonts w:ascii="宋体" w:hAnsi="宋体" w:eastAsia="宋体" w:cs="宋体"/>
                <w:spacing w:val="-1"/>
                <w:kern w:val="2"/>
                <w:sz w:val="19"/>
                <w:szCs w:val="19"/>
                <w:lang w:val="en-US" w:eastAsia="zh-CN" w:bidi="ar-SA"/>
              </w:rPr>
              <w:t>）</w:t>
            </w:r>
            <w:r>
              <w:rPr>
                <w:rFonts w:hint="eastAsia" w:ascii="宋体" w:hAnsi="宋体" w:eastAsia="宋体" w:cs="宋体"/>
                <w:spacing w:val="-1"/>
                <w:kern w:val="2"/>
                <w:sz w:val="19"/>
                <w:szCs w:val="19"/>
                <w:lang w:val="en-US" w:eastAsia="zh-CN" w:bidi="ar-SA"/>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eastAsia="宋体" w:cs="宋体"/>
                <w:spacing w:val="-1"/>
                <w:kern w:val="2"/>
                <w:sz w:val="19"/>
                <w:szCs w:val="19"/>
                <w:lang w:val="en-US" w:eastAsia="zh-CN" w:bidi="ar-SA"/>
              </w:rPr>
              <w:t>在本项目合同约定的质保期过后，</w:t>
            </w:r>
            <w:r>
              <w:rPr>
                <w:rFonts w:hint="eastAsia" w:ascii="宋体" w:hAnsi="宋体" w:eastAsia="宋体" w:cs="宋体"/>
                <w:spacing w:val="-1"/>
                <w:kern w:val="2"/>
                <w:sz w:val="19"/>
                <w:szCs w:val="19"/>
                <w:lang w:val="en-US" w:eastAsia="zh-CN" w:bidi="ar-SA"/>
              </w:rPr>
              <w:t>中标报价人</w:t>
            </w:r>
            <w:r>
              <w:rPr>
                <w:rFonts w:ascii="宋体" w:hAnsi="宋体" w:eastAsia="宋体" w:cs="宋体"/>
                <w:spacing w:val="-1"/>
                <w:kern w:val="2"/>
                <w:sz w:val="19"/>
                <w:szCs w:val="19"/>
                <w:lang w:val="en-US" w:eastAsia="zh-CN" w:bidi="ar-SA"/>
              </w:rPr>
              <w:t>需确保该软件其功能仍与交付验收时一致不受限制</w:t>
            </w:r>
            <w:r>
              <w:rPr>
                <w:rFonts w:hint="eastAsia" w:ascii="宋体" w:hAnsi="宋体" w:eastAsia="宋体" w:cs="宋体"/>
                <w:spacing w:val="-1"/>
                <w:kern w:val="2"/>
                <w:sz w:val="19"/>
                <w:szCs w:val="19"/>
                <w:lang w:val="en-US" w:eastAsia="zh-CN" w:bidi="ar-SA"/>
              </w:rPr>
              <w:t>或减少</w:t>
            </w:r>
            <w:r>
              <w:rPr>
                <w:rFonts w:ascii="宋体" w:hAnsi="宋体" w:eastAsia="宋体" w:cs="宋体"/>
                <w:spacing w:val="-1"/>
                <w:kern w:val="2"/>
                <w:sz w:val="19"/>
                <w:szCs w:val="19"/>
                <w:lang w:val="en-US" w:eastAsia="zh-CN" w:bidi="ar-SA"/>
              </w:rPr>
              <w:t>（如合同另有约定的按合同约定），质保期过后如需对软件进行升级或售后服务双方再行协商。</w:t>
            </w:r>
          </w:p>
          <w:p w14:paraId="603E2FCD">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3.知识产权</w:t>
            </w:r>
          </w:p>
          <w:p w14:paraId="51E14565">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7BF3C490">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（2）报价人因未经授权而实施的商业性复制行为构成违约或侵权责任造成采购人损失的，由其承担相关责任并赔偿采购人经济损失。</w:t>
            </w:r>
          </w:p>
          <w:p w14:paraId="29F43F86">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w:t>
            </w:r>
            <w:r>
              <w:rPr>
                <w:rFonts w:ascii="宋体" w:hAnsi="宋体" w:eastAsia="宋体" w:cs="宋体"/>
                <w:spacing w:val="-1"/>
                <w:kern w:val="2"/>
                <w:sz w:val="19"/>
                <w:szCs w:val="19"/>
                <w:lang w:val="en-US" w:eastAsia="zh-CN" w:bidi="ar-SA"/>
              </w:rPr>
              <w:t>中标</w:t>
            </w:r>
            <w:r>
              <w:rPr>
                <w:rFonts w:hint="eastAsia" w:ascii="宋体" w:hAnsi="宋体" w:eastAsia="宋体" w:cs="宋体"/>
                <w:spacing w:val="-1"/>
                <w:kern w:val="2"/>
                <w:sz w:val="19"/>
                <w:szCs w:val="19"/>
                <w:lang w:val="en-US" w:eastAsia="zh-CN" w:bidi="ar-SA"/>
              </w:rPr>
              <w:t>报价人</w:t>
            </w:r>
            <w:r>
              <w:rPr>
                <w:rFonts w:ascii="宋体" w:hAnsi="宋体" w:eastAsia="宋体" w:cs="宋体"/>
                <w:spacing w:val="-1"/>
                <w:kern w:val="2"/>
                <w:sz w:val="19"/>
                <w:szCs w:val="19"/>
                <w:lang w:val="en-US" w:eastAsia="zh-CN" w:bidi="ar-SA"/>
              </w:rPr>
              <w:t>应保证针对本项目的货物（含硬件、软件及服务）涉及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人承担。</w:t>
            </w:r>
          </w:p>
          <w:p w14:paraId="58011716">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4.</w:t>
            </w:r>
            <w:r>
              <w:rPr>
                <w:rFonts w:ascii="宋体" w:hAnsi="宋体" w:eastAsia="宋体" w:cs="宋体"/>
                <w:spacing w:val="-1"/>
                <w:kern w:val="2"/>
                <w:sz w:val="19"/>
                <w:szCs w:val="19"/>
                <w:lang w:val="en-US" w:eastAsia="zh-CN" w:bidi="ar-SA"/>
              </w:rPr>
              <w:t>付款</w:t>
            </w:r>
            <w:r>
              <w:rPr>
                <w:rFonts w:hint="eastAsia" w:ascii="宋体" w:hAnsi="宋体" w:eastAsia="宋体" w:cs="宋体"/>
                <w:spacing w:val="-1"/>
                <w:kern w:val="2"/>
                <w:sz w:val="19"/>
                <w:szCs w:val="19"/>
                <w:lang w:val="en-US" w:eastAsia="zh-CN" w:bidi="ar-SA"/>
              </w:rPr>
              <w:t>要求</w:t>
            </w:r>
          </w:p>
          <w:p w14:paraId="28EBC054">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ascii="宋体" w:hAnsi="宋体" w:eastAsia="宋体" w:cs="宋体"/>
                <w:spacing w:val="-1"/>
                <w:kern w:val="2"/>
                <w:sz w:val="19"/>
                <w:szCs w:val="19"/>
                <w:lang w:val="en-US" w:eastAsia="zh-CN" w:bidi="ar-SA"/>
              </w:rPr>
              <w:t>本项目无预付款，合同中所有货物全部安装调试完毕验收合格交付给</w:t>
            </w:r>
            <w:r>
              <w:rPr>
                <w:rFonts w:hint="eastAsia" w:ascii="宋体" w:hAnsi="宋体" w:eastAsia="宋体" w:cs="宋体"/>
                <w:spacing w:val="-1"/>
                <w:kern w:val="2"/>
                <w:sz w:val="19"/>
                <w:szCs w:val="19"/>
                <w:lang w:val="en-US" w:eastAsia="zh-CN" w:bidi="ar-SA"/>
              </w:rPr>
              <w:t>采购人</w:t>
            </w:r>
            <w:r>
              <w:rPr>
                <w:rFonts w:ascii="宋体" w:hAnsi="宋体" w:eastAsia="宋体" w:cs="宋体"/>
                <w:spacing w:val="-1"/>
                <w:kern w:val="2"/>
                <w:sz w:val="19"/>
                <w:szCs w:val="19"/>
                <w:lang w:val="en-US" w:eastAsia="zh-CN" w:bidi="ar-SA"/>
              </w:rPr>
              <w:t>使用后，被选中的</w:t>
            </w:r>
            <w:r>
              <w:rPr>
                <w:rFonts w:hint="eastAsia" w:ascii="宋体" w:hAnsi="宋体" w:eastAsia="宋体" w:cs="宋体"/>
                <w:spacing w:val="-1"/>
                <w:kern w:val="2"/>
                <w:sz w:val="19"/>
                <w:szCs w:val="19"/>
                <w:lang w:val="en-US" w:eastAsia="zh-CN" w:bidi="ar-SA"/>
              </w:rPr>
              <w:t>报价</w:t>
            </w:r>
            <w:r>
              <w:rPr>
                <w:rFonts w:ascii="宋体" w:hAnsi="宋体" w:eastAsia="宋体" w:cs="宋体"/>
                <w:spacing w:val="-1"/>
                <w:kern w:val="2"/>
                <w:sz w:val="19"/>
                <w:szCs w:val="19"/>
                <w:lang w:val="en-US" w:eastAsia="zh-CN" w:bidi="ar-SA"/>
              </w:rPr>
              <w:t>人开具</w:t>
            </w:r>
            <w:r>
              <w:rPr>
                <w:rFonts w:hint="eastAsia" w:ascii="宋体" w:hAnsi="宋体" w:eastAsia="宋体" w:cs="宋体"/>
                <w:spacing w:val="-1"/>
                <w:kern w:val="2"/>
                <w:sz w:val="19"/>
                <w:szCs w:val="19"/>
                <w:lang w:val="en-US" w:eastAsia="zh-CN" w:bidi="ar-SA"/>
              </w:rPr>
              <w:t>全额增值税专用发票</w:t>
            </w:r>
            <w:r>
              <w:rPr>
                <w:rFonts w:ascii="宋体" w:hAnsi="宋体" w:eastAsia="宋体" w:cs="宋体"/>
                <w:spacing w:val="-1"/>
                <w:kern w:val="2"/>
                <w:sz w:val="19"/>
                <w:szCs w:val="19"/>
                <w:lang w:val="en-US" w:eastAsia="zh-CN" w:bidi="ar-SA"/>
              </w:rPr>
              <w:t>给</w:t>
            </w:r>
            <w:r>
              <w:rPr>
                <w:rFonts w:hint="eastAsia" w:ascii="宋体" w:hAnsi="宋体" w:eastAsia="宋体" w:cs="宋体"/>
                <w:spacing w:val="-1"/>
                <w:kern w:val="2"/>
                <w:sz w:val="19"/>
                <w:szCs w:val="19"/>
                <w:lang w:val="en-US" w:eastAsia="zh-CN" w:bidi="ar-SA"/>
              </w:rPr>
              <w:t>采购人</w:t>
            </w:r>
            <w:r>
              <w:rPr>
                <w:rFonts w:ascii="宋体" w:hAnsi="宋体" w:eastAsia="宋体" w:cs="宋体"/>
                <w:spacing w:val="-1"/>
                <w:kern w:val="2"/>
                <w:sz w:val="19"/>
                <w:szCs w:val="19"/>
                <w:lang w:val="en-US" w:eastAsia="zh-CN" w:bidi="ar-SA"/>
              </w:rPr>
              <w:t>，</w:t>
            </w:r>
            <w:r>
              <w:rPr>
                <w:rFonts w:hint="eastAsia" w:ascii="宋体" w:hAnsi="宋体" w:eastAsia="宋体" w:cs="宋体"/>
                <w:spacing w:val="-1"/>
                <w:kern w:val="2"/>
                <w:sz w:val="19"/>
                <w:szCs w:val="19"/>
                <w:lang w:val="en-US" w:eastAsia="zh-CN" w:bidi="ar-SA"/>
              </w:rPr>
              <w:t>采购人</w:t>
            </w:r>
            <w:r>
              <w:rPr>
                <w:rFonts w:ascii="宋体" w:hAnsi="宋体" w:eastAsia="宋体" w:cs="宋体"/>
                <w:spacing w:val="-1"/>
                <w:kern w:val="2"/>
                <w:sz w:val="19"/>
                <w:szCs w:val="19"/>
                <w:lang w:val="en-US" w:eastAsia="zh-CN" w:bidi="ar-SA"/>
              </w:rPr>
              <w:t>收到发票后</w:t>
            </w:r>
            <w:r>
              <w:rPr>
                <w:rFonts w:hint="eastAsia" w:ascii="宋体" w:hAnsi="宋体" w:eastAsia="宋体" w:cs="宋体"/>
                <w:spacing w:val="-1"/>
                <w:kern w:val="2"/>
                <w:sz w:val="19"/>
                <w:szCs w:val="19"/>
                <w:lang w:val="en-US" w:eastAsia="zh-CN" w:bidi="ar-SA"/>
              </w:rPr>
              <w:t xml:space="preserve"> 20 个工作日</w:t>
            </w:r>
            <w:r>
              <w:rPr>
                <w:rFonts w:ascii="宋体" w:hAnsi="宋体" w:eastAsia="宋体" w:cs="宋体"/>
                <w:spacing w:val="-1"/>
                <w:kern w:val="2"/>
                <w:sz w:val="19"/>
                <w:szCs w:val="19"/>
                <w:lang w:val="en-US" w:eastAsia="zh-CN" w:bidi="ar-SA"/>
              </w:rPr>
              <w:t>内</w:t>
            </w:r>
            <w:r>
              <w:rPr>
                <w:rFonts w:hint="eastAsia" w:ascii="宋体" w:hAnsi="宋体" w:eastAsia="宋体" w:cs="宋体"/>
                <w:spacing w:val="-1"/>
                <w:kern w:val="2"/>
                <w:sz w:val="19"/>
                <w:szCs w:val="19"/>
                <w:lang w:val="en-US" w:eastAsia="zh-CN" w:bidi="ar-SA"/>
              </w:rPr>
              <w:t>办理</w:t>
            </w:r>
            <w:r>
              <w:rPr>
                <w:rFonts w:ascii="宋体" w:hAnsi="宋体" w:eastAsia="宋体" w:cs="宋体"/>
                <w:spacing w:val="-1"/>
                <w:kern w:val="2"/>
                <w:sz w:val="19"/>
                <w:szCs w:val="19"/>
                <w:lang w:val="en-US" w:eastAsia="zh-CN" w:bidi="ar-SA"/>
              </w:rPr>
              <w:t>支付手续。</w:t>
            </w:r>
            <w:r>
              <w:rPr>
                <w:rFonts w:hint="eastAsia" w:ascii="宋体" w:hAnsi="宋体" w:eastAsia="宋体" w:cs="宋体"/>
                <w:spacing w:val="-1"/>
                <w:kern w:val="2"/>
                <w:sz w:val="19"/>
                <w:szCs w:val="19"/>
                <w:lang w:val="en-US" w:eastAsia="zh-CN" w:bidi="ar-SA"/>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12B01CB2">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5.履约保证金</w:t>
            </w:r>
          </w:p>
          <w:p w14:paraId="44B5AF0D">
            <w:pPr>
              <w:widowControl/>
              <w:adjustRightInd w:val="0"/>
              <w:snapToGrid w:val="0"/>
              <w:spacing w:line="520" w:lineRule="exact"/>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4E1000AF">
            <w:pPr>
              <w:widowControl/>
              <w:spacing w:line="48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履约保证金账户：</w:t>
            </w:r>
          </w:p>
          <w:p w14:paraId="3C8C21A4">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名  称：柳州职业技术大学</w:t>
            </w:r>
          </w:p>
          <w:p w14:paraId="6C7D74D1">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开户行：交通银行西江支行</w:t>
            </w:r>
          </w:p>
          <w:p w14:paraId="004AEDFD">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账  号：</w:t>
            </w:r>
            <w:r>
              <w:rPr>
                <w:rFonts w:ascii="宋体" w:hAnsi="宋体" w:eastAsia="宋体" w:cs="宋体"/>
                <w:spacing w:val="-1"/>
                <w:kern w:val="2"/>
                <w:sz w:val="19"/>
                <w:szCs w:val="19"/>
                <w:lang w:val="en-US" w:eastAsia="zh-CN" w:bidi="ar-SA"/>
              </w:rPr>
              <w:t>452060600018120020185</w:t>
            </w:r>
          </w:p>
          <w:p w14:paraId="4D1CFAFF">
            <w:pPr>
              <w:pStyle w:val="7"/>
              <w:spacing w:line="360"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转账时注明：荧光分光光度计采购项目，采购编号LZPU2026-14-1 履约保证金电汇、转账的持银行回执复印件（非电汇、转账的出具其他保证金递交证明文件）、中标（成交）通知书（确认书）及合同到柳州职业技术大学签署合同。</w:t>
            </w:r>
          </w:p>
          <w:p w14:paraId="4755C1A9">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6.验收要求</w:t>
            </w:r>
          </w:p>
          <w:p w14:paraId="1EB552EA">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7951A454">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（2）中标报价人须确保货物为原制造商制造（或原厂组装）的全新产品，，无侵权行为、表面无划损、无任何缺陷隐患，在中国境内可依常规安全合法使用。</w:t>
            </w:r>
          </w:p>
          <w:p w14:paraId="63C68996">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（3）供货时中标报价人应将关键货物的用户手册、保修手册、有关单证资料及配备件等交付给采购人，使用操作及安全须知等重要资料应附有中文说明。</w:t>
            </w:r>
          </w:p>
          <w:p w14:paraId="21EFAA81">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63FEE9FC">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（5）中标报价人必须依照采购文件的要求和应标文件的承诺，将设备、系统安装并调试至正常运行的最佳状态，并完成采购人的人员培训方可申请采购人正式验收。</w:t>
            </w:r>
          </w:p>
          <w:p w14:paraId="0B8B358F">
            <w:pPr>
              <w:pStyle w:val="7"/>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（6）采购人有权委托第三方进行履约验收，履约验收费用（含运行耗材、验收专家费等全部费用）由中标报价人支付。报价人在报价时自行考虑。</w:t>
            </w:r>
          </w:p>
          <w:p w14:paraId="30E0F112">
            <w:pPr>
              <w:snapToGrid w:val="0"/>
              <w:spacing w:line="276" w:lineRule="auto"/>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（7）中标报价人</w:t>
            </w:r>
            <w:r>
              <w:rPr>
                <w:rFonts w:ascii="宋体" w:hAnsi="宋体" w:eastAsia="宋体" w:cs="宋体"/>
                <w:spacing w:val="-1"/>
                <w:kern w:val="2"/>
                <w:sz w:val="19"/>
                <w:szCs w:val="19"/>
                <w:lang w:val="en-US" w:eastAsia="zh-CN" w:bidi="ar-SA"/>
              </w:rPr>
              <w:t>完成安装调试后，采购人可以进行累计运行时间不超过72小时的试运行，以确认所供货物（含硬件、软件及服务）功能参数、兼容性及稳定性符合标准达到初验条件，在试运行期间出现问题</w:t>
            </w:r>
            <w:r>
              <w:rPr>
                <w:rFonts w:hint="eastAsia" w:ascii="宋体" w:hAnsi="宋体" w:eastAsia="宋体" w:cs="宋体"/>
                <w:spacing w:val="-1"/>
                <w:kern w:val="2"/>
                <w:sz w:val="19"/>
                <w:szCs w:val="19"/>
                <w:lang w:val="en-US" w:eastAsia="zh-CN" w:bidi="ar-SA"/>
              </w:rPr>
              <w:t>中标报价人</w:t>
            </w:r>
            <w:r>
              <w:rPr>
                <w:rFonts w:ascii="宋体" w:hAnsi="宋体" w:eastAsia="宋体" w:cs="宋体"/>
                <w:spacing w:val="-1"/>
                <w:kern w:val="2"/>
                <w:sz w:val="19"/>
                <w:szCs w:val="19"/>
                <w:lang w:val="en-US" w:eastAsia="zh-CN" w:bidi="ar-SA"/>
              </w:rPr>
              <w:t>应在接到采购人书面反馈后三日内解决，在解决问题前此项目仍视为尚未完成安装调试。如造成最终验收合格交付时间超过合同约定的按合同相关条款执行。</w:t>
            </w:r>
          </w:p>
          <w:p w14:paraId="26F5FA30">
            <w:pPr>
              <w:widowControl/>
              <w:jc w:val="left"/>
              <w:rPr>
                <w:rFonts w:ascii="宋体" w:hAnsi="宋体" w:eastAsia="宋体" w:cs="宋体"/>
                <w:spacing w:val="-1"/>
                <w:kern w:val="2"/>
                <w:sz w:val="19"/>
                <w:szCs w:val="19"/>
                <w:lang w:val="en-US" w:eastAsia="zh-CN" w:bidi="ar-SA"/>
              </w:rPr>
            </w:pPr>
            <w:r>
              <w:rPr>
                <w:rFonts w:hint="eastAsia" w:ascii="宋体" w:hAnsi="宋体" w:eastAsia="宋体" w:cs="宋体"/>
                <w:spacing w:val="-1"/>
                <w:kern w:val="2"/>
                <w:sz w:val="19"/>
                <w:szCs w:val="19"/>
                <w:lang w:val="en-US" w:eastAsia="zh-CN" w:bidi="ar-SA"/>
              </w:rPr>
              <w:t>如果验收时中标报价人所提供设备达不到采购项目的技术需求，在整改期限20日内中标报价人仍无法提供满足项目技术要求的设备，采购人可以终止项目，中标报价人须承担相应违约责任。</w:t>
            </w:r>
          </w:p>
        </w:tc>
      </w:tr>
    </w:tbl>
    <w:p w14:paraId="521D3291">
      <w:pPr>
        <w:widowControl/>
        <w:adjustRightInd w:val="0"/>
        <w:snapToGrid w:val="0"/>
        <w:spacing w:line="520" w:lineRule="exact"/>
        <w:jc w:val="left"/>
        <w:rPr>
          <w:rFonts w:asciiTheme="majorEastAsia" w:hAnsiTheme="majorEastAsia" w:eastAsiaTheme="majorEastAsia" w:cstheme="majorEastAsia"/>
          <w:color w:val="000000"/>
          <w:kern w:val="0"/>
          <w:sz w:val="24"/>
          <w:szCs w:val="28"/>
        </w:rPr>
      </w:pPr>
      <w:r>
        <w:rPr>
          <w:rFonts w:hint="eastAsia" w:ascii="宋体" w:hAnsi="宋体" w:eastAsia="宋体" w:cs="宋体"/>
          <w:spacing w:val="-1"/>
          <w:kern w:val="2"/>
          <w:sz w:val="19"/>
          <w:szCs w:val="19"/>
          <w:lang w:val="en-US" w:eastAsia="zh-CN" w:bidi="ar-SA"/>
        </w:rPr>
        <w:t>四、报价人须知：（以下要求报价供应商必须满足否则视为无效）</w:t>
      </w:r>
    </w:p>
    <w:p w14:paraId="09F0FED6">
      <w:pPr>
        <w:widowControl/>
        <w:adjustRightInd w:val="0"/>
        <w:snapToGrid w:val="0"/>
        <w:spacing w:line="520" w:lineRule="exact"/>
        <w:jc w:val="left"/>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kern w:val="0"/>
          <w:sz w:val="18"/>
          <w:szCs w:val="18"/>
        </w:rPr>
        <w:t>1.</w:t>
      </w: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b/>
          <w:sz w:val="18"/>
          <w:szCs w:val="18"/>
        </w:rPr>
        <w:t>资格证明文件</w:t>
      </w:r>
    </w:p>
    <w:p w14:paraId="7CB6D7B6">
      <w:pPr>
        <w:widowControl/>
        <w:adjustRightInd w:val="0"/>
        <w:snapToGrid w:val="0"/>
        <w:spacing w:line="520" w:lineRule="exact"/>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b/>
          <w:sz w:val="18"/>
          <w:szCs w:val="18"/>
        </w:rPr>
        <w:t>必须提供，否则响应文件按无效响应处理</w:t>
      </w:r>
      <w:r>
        <w:rPr>
          <w:rFonts w:hint="eastAsia" w:asciiTheme="majorEastAsia" w:hAnsiTheme="majorEastAsia" w:eastAsiaTheme="majorEastAsia" w:cstheme="majorEastAsia"/>
          <w:sz w:val="18"/>
          <w:szCs w:val="18"/>
        </w:rPr>
        <w:t>）</w:t>
      </w:r>
    </w:p>
    <w:p w14:paraId="583DDA09">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sz w:val="18"/>
          <w:szCs w:val="18"/>
        </w:rPr>
        <w:t>（2）报价声明（格式后附）；（</w:t>
      </w:r>
      <w:r>
        <w:rPr>
          <w:rFonts w:hint="eastAsia" w:asciiTheme="majorEastAsia" w:hAnsiTheme="majorEastAsia" w:eastAsiaTheme="majorEastAsia" w:cstheme="majorEastAsia"/>
          <w:b/>
          <w:sz w:val="18"/>
          <w:szCs w:val="18"/>
        </w:rPr>
        <w:t>必须提供，否则响应文件按无效响应处理</w:t>
      </w:r>
      <w:r>
        <w:rPr>
          <w:rFonts w:hint="eastAsia" w:asciiTheme="majorEastAsia" w:hAnsiTheme="majorEastAsia" w:eastAsiaTheme="majorEastAsia" w:cstheme="majorEastAsia"/>
          <w:sz w:val="18"/>
          <w:szCs w:val="18"/>
        </w:rPr>
        <w:t>）</w:t>
      </w:r>
    </w:p>
    <w:p w14:paraId="65573B48">
      <w:pP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注：</w:t>
      </w:r>
    </w:p>
    <w:p w14:paraId="308189F8">
      <w:pPr>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1.以上标明“必须提供”的材料属于复印件的，必须加盖报价人公章，否则报价文件按无效响应处理。</w:t>
      </w:r>
    </w:p>
    <w:p w14:paraId="2EA606DC">
      <w:pP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b/>
          <w:sz w:val="18"/>
          <w:szCs w:val="18"/>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kern w:val="0"/>
          <w:sz w:val="18"/>
          <w:szCs w:val="18"/>
        </w:rPr>
        <w:t>（3）</w:t>
      </w:r>
      <w:r>
        <w:rPr>
          <w:rFonts w:hint="eastAsia" w:asciiTheme="majorEastAsia" w:hAnsiTheme="majorEastAsia" w:eastAsiaTheme="majorEastAsia" w:cstheme="majorEastAsia"/>
          <w:b/>
          <w:kern w:val="0"/>
          <w:sz w:val="18"/>
          <w:szCs w:val="18"/>
        </w:rPr>
        <w:t xml:space="preserve">符合以下规定的条件： </w:t>
      </w:r>
    </w:p>
    <w:p w14:paraId="1BD5631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具有独立承担民事责任的能力； </w:t>
      </w:r>
    </w:p>
    <w:p w14:paraId="62E27C7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具有良好的商业信誉和健全的财务会计制度； </w:t>
      </w:r>
    </w:p>
    <w:p w14:paraId="35CBC04E">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具有履行合同所必需的设备和专业技术能力； </w:t>
      </w:r>
    </w:p>
    <w:p w14:paraId="320CA08C">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有依法缴纳税收和社会保障资金的良好记录； </w:t>
      </w:r>
    </w:p>
    <w:p w14:paraId="6677FB72">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未被列入失信被执行人、重大税收违法失信主体、政府采购严重违法失信行为记录名单；</w:t>
      </w:r>
    </w:p>
    <w:p w14:paraId="5AD11627">
      <w:pPr>
        <w:pStyle w:val="7"/>
        <w:numPr>
          <w:ilvl w:val="0"/>
          <w:numId w:val="2"/>
        </w:numPr>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法律、行政法规规定的其他条件。</w:t>
      </w:r>
    </w:p>
    <w:p w14:paraId="57F7BD3F">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2.单位负责人为同一人或者存在控股、管理关系的不同供应商，不得参加同一合同项下的采购活动。</w:t>
      </w:r>
    </w:p>
    <w:p w14:paraId="29861CCC">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3.报价为最终报价，须包含货物及货物运抵指定交货地点的运输、装卸费用、售后服务、税金、验收检验及其它所有费用的总和。报</w:t>
      </w:r>
      <w:r>
        <w:rPr>
          <w:rFonts w:hint="eastAsia" w:asciiTheme="majorEastAsia" w:hAnsiTheme="majorEastAsia" w:eastAsiaTheme="majorEastAsia" w:cstheme="majorEastAsia"/>
          <w:b/>
          <w:bCs/>
          <w:kern w:val="0"/>
          <w:sz w:val="18"/>
          <w:szCs w:val="18"/>
        </w:rPr>
        <w:t>价超出采购预算金额的文件将被视为无效。</w:t>
      </w:r>
    </w:p>
    <w:p w14:paraId="0105B1C4">
      <w:pPr>
        <w:spacing w:line="360" w:lineRule="auto"/>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4.报价文件</w:t>
      </w:r>
      <w:r>
        <w:rPr>
          <w:rFonts w:hint="eastAsia" w:asciiTheme="majorEastAsia" w:hAnsiTheme="majorEastAsia" w:eastAsiaTheme="majorEastAsia" w:cstheme="majorEastAsia"/>
          <w:sz w:val="18"/>
          <w:szCs w:val="18"/>
        </w:rPr>
        <w:t>由资格证明文件、报价商务技术文件两部分组成，详见</w:t>
      </w:r>
      <w:r>
        <w:rPr>
          <w:rFonts w:hint="eastAsia" w:asciiTheme="majorEastAsia" w:hAnsiTheme="majorEastAsia" w:eastAsiaTheme="majorEastAsia" w:cstheme="majorEastAsia"/>
          <w:b/>
          <w:sz w:val="18"/>
          <w:szCs w:val="18"/>
        </w:rPr>
        <w:t>报价文件格式</w:t>
      </w:r>
      <w:r>
        <w:rPr>
          <w:rFonts w:hint="eastAsia" w:asciiTheme="majorEastAsia" w:hAnsiTheme="majorEastAsia" w:eastAsiaTheme="majorEastAsia" w:cstheme="majorEastAsia"/>
          <w:sz w:val="18"/>
          <w:szCs w:val="18"/>
        </w:rPr>
        <w:t>。</w:t>
      </w:r>
      <w:r>
        <w:rPr>
          <w:rFonts w:hint="eastAsia" w:asciiTheme="majorEastAsia" w:hAnsiTheme="majorEastAsia" w:eastAsiaTheme="majorEastAsia" w:cstheme="majorEastAsia"/>
          <w:kern w:val="0"/>
          <w:sz w:val="18"/>
          <w:szCs w:val="18"/>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5.报价文件递交</w:t>
      </w:r>
    </w:p>
    <w:p w14:paraId="1749A1C6">
      <w:pPr>
        <w:spacing w:line="360" w:lineRule="auto"/>
        <w:rPr>
          <w:rFonts w:asciiTheme="majorEastAsia" w:hAnsiTheme="majorEastAsia" w:eastAsiaTheme="majorEastAsia" w:cstheme="majorEastAsia"/>
          <w:b/>
          <w:bCs/>
          <w:sz w:val="18"/>
          <w:szCs w:val="18"/>
        </w:rPr>
      </w:pPr>
      <w:r>
        <w:rPr>
          <w:rFonts w:hint="eastAsia" w:asciiTheme="majorEastAsia" w:hAnsiTheme="majorEastAsia" w:eastAsiaTheme="majorEastAsia" w:cstheme="majorEastAsia"/>
          <w:sz w:val="18"/>
          <w:szCs w:val="18"/>
        </w:rPr>
        <w:t>（1）报价文件份数：</w:t>
      </w:r>
      <w:r>
        <w:rPr>
          <w:rFonts w:hint="eastAsia" w:asciiTheme="majorEastAsia" w:hAnsiTheme="majorEastAsia" w:eastAsiaTheme="majorEastAsia" w:cstheme="majorEastAsia"/>
          <w:kern w:val="0"/>
          <w:sz w:val="18"/>
          <w:szCs w:val="18"/>
        </w:rPr>
        <w:t>报价文件一式三份，</w:t>
      </w:r>
      <w:r>
        <w:rPr>
          <w:rFonts w:hint="eastAsia" w:asciiTheme="majorEastAsia" w:hAnsiTheme="majorEastAsia" w:eastAsiaTheme="majorEastAsia" w:cstheme="majorEastAsia"/>
          <w:b/>
          <w:bCs/>
          <w:sz w:val="18"/>
          <w:szCs w:val="18"/>
        </w:rPr>
        <w:t>正本一份、副本二份</w:t>
      </w:r>
    </w:p>
    <w:p w14:paraId="7286C781">
      <w:pPr>
        <w:widowControl/>
        <w:adjustRightInd w:val="0"/>
        <w:snapToGrid w:val="0"/>
        <w:spacing w:line="360" w:lineRule="auto"/>
        <w:jc w:val="left"/>
        <w:rPr>
          <w:rFonts w:asciiTheme="majorEastAsia" w:hAnsiTheme="majorEastAsia" w:eastAsiaTheme="majorEastAsia" w:cstheme="majorEastAsia"/>
          <w:spacing w:val="-6"/>
          <w:sz w:val="18"/>
          <w:szCs w:val="18"/>
        </w:rPr>
      </w:pPr>
      <w:r>
        <w:rPr>
          <w:rFonts w:hint="eastAsia" w:asciiTheme="majorEastAsia" w:hAnsiTheme="majorEastAsia" w:eastAsiaTheme="majorEastAsia" w:cstheme="majorEastAsia"/>
          <w:sz w:val="18"/>
          <w:szCs w:val="18"/>
        </w:rPr>
        <w:t>（2）报价人应按本文件规定的格式和顺序编制、装订报价文件并标注页码，报价文件内容</w:t>
      </w:r>
      <w:r>
        <w:rPr>
          <w:rFonts w:hint="eastAsia" w:asciiTheme="majorEastAsia" w:hAnsiTheme="majorEastAsia" w:eastAsiaTheme="majorEastAsia" w:cstheme="majorEastAsia"/>
          <w:spacing w:val="-6"/>
          <w:sz w:val="18"/>
          <w:szCs w:val="18"/>
        </w:rPr>
        <w:t>不完整、编排混乱导致被误读、漏读或者查找不到相关内容的，</w:t>
      </w:r>
      <w:r>
        <w:rPr>
          <w:rFonts w:hint="eastAsia" w:asciiTheme="majorEastAsia" w:hAnsiTheme="majorEastAsia" w:eastAsiaTheme="majorEastAsia" w:cstheme="majorEastAsia"/>
          <w:sz w:val="18"/>
          <w:szCs w:val="18"/>
        </w:rPr>
        <w:t>由此引发的</w:t>
      </w:r>
      <w:r>
        <w:rPr>
          <w:rFonts w:hint="eastAsia" w:asciiTheme="majorEastAsia" w:hAnsiTheme="majorEastAsia" w:eastAsiaTheme="majorEastAsia" w:cstheme="majorEastAsia"/>
          <w:spacing w:val="-6"/>
          <w:sz w:val="18"/>
          <w:szCs w:val="18"/>
        </w:rPr>
        <w:t>后果由</w:t>
      </w:r>
      <w:r>
        <w:rPr>
          <w:rFonts w:hint="eastAsia" w:asciiTheme="majorEastAsia" w:hAnsiTheme="majorEastAsia" w:eastAsiaTheme="majorEastAsia" w:cstheme="majorEastAsia"/>
          <w:sz w:val="18"/>
          <w:szCs w:val="18"/>
        </w:rPr>
        <w:t>报价人自行</w:t>
      </w:r>
      <w:r>
        <w:rPr>
          <w:rFonts w:hint="eastAsia" w:asciiTheme="majorEastAsia" w:hAnsiTheme="majorEastAsia" w:eastAsiaTheme="majorEastAsia" w:cstheme="majorEastAsia"/>
          <w:spacing w:val="-6"/>
          <w:sz w:val="18"/>
          <w:szCs w:val="18"/>
        </w:rPr>
        <w:t>承担。</w:t>
      </w:r>
    </w:p>
    <w:p w14:paraId="10E93A12">
      <w:pPr>
        <w:spacing w:line="360" w:lineRule="auto"/>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pacing w:val="-6"/>
          <w:sz w:val="18"/>
          <w:szCs w:val="18"/>
        </w:rPr>
        <w:t>（3）</w:t>
      </w:r>
      <w:r>
        <w:rPr>
          <w:rFonts w:hint="eastAsia" w:asciiTheme="majorEastAsia" w:hAnsiTheme="majorEastAsia" w:eastAsiaTheme="majorEastAsia" w:cstheme="majorEastAsia"/>
          <w:sz w:val="18"/>
          <w:szCs w:val="18"/>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asciiTheme="majorEastAsia" w:hAnsiTheme="majorEastAsia" w:eastAsiaTheme="majorEastAsia" w:cstheme="majorEastAsia"/>
          <w:b w:val="0"/>
          <w:bCs/>
          <w:sz w:val="18"/>
          <w:szCs w:val="18"/>
        </w:rPr>
      </w:pPr>
      <w:r>
        <w:rPr>
          <w:rFonts w:hint="eastAsia" w:asciiTheme="majorEastAsia" w:hAnsiTheme="majorEastAsia" w:eastAsiaTheme="majorEastAsia" w:cstheme="majorEastAsia"/>
          <w:b w:val="0"/>
          <w:bCs/>
          <w:spacing w:val="-6"/>
          <w:sz w:val="18"/>
          <w:szCs w:val="18"/>
        </w:rPr>
        <w:t>6.报价</w:t>
      </w:r>
      <w:r>
        <w:rPr>
          <w:rFonts w:hint="eastAsia" w:asciiTheme="majorEastAsia" w:hAnsiTheme="majorEastAsia" w:eastAsiaTheme="majorEastAsia" w:cstheme="majorEastAsia"/>
          <w:b w:val="0"/>
          <w:bCs/>
          <w:sz w:val="18"/>
          <w:szCs w:val="18"/>
        </w:rPr>
        <w:t>文件提交</w:t>
      </w:r>
    </w:p>
    <w:p w14:paraId="40C1A4F7">
      <w:pPr>
        <w:spacing w:line="480" w:lineRule="exact"/>
        <w:rPr>
          <w:rFonts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sz w:val="18"/>
          <w:szCs w:val="18"/>
        </w:rPr>
        <w:t>（1）报价文件提交起止时间：</w:t>
      </w:r>
      <w:r>
        <w:rPr>
          <w:rFonts w:hint="eastAsia" w:asciiTheme="majorEastAsia" w:hAnsiTheme="majorEastAsia" w:eastAsiaTheme="majorEastAsia" w:cstheme="majorEastAsia"/>
          <w:sz w:val="18"/>
          <w:szCs w:val="18"/>
          <w:u w:val="single"/>
        </w:rPr>
        <w:t>2</w:t>
      </w:r>
      <w:r>
        <w:rPr>
          <w:rFonts w:hint="eastAsia" w:asciiTheme="majorEastAsia" w:hAnsiTheme="majorEastAsia" w:eastAsiaTheme="majorEastAsia" w:cstheme="majorEastAsia"/>
          <w:b/>
          <w:bCs/>
          <w:sz w:val="18"/>
          <w:szCs w:val="18"/>
          <w:highlight w:val="none"/>
          <w:u w:val="single"/>
        </w:rPr>
        <w:t>026年</w:t>
      </w:r>
      <w:r>
        <w:rPr>
          <w:rFonts w:hint="eastAsia" w:asciiTheme="majorEastAsia" w:hAnsiTheme="majorEastAsia" w:eastAsiaTheme="majorEastAsia" w:cstheme="majorEastAsia"/>
          <w:b/>
          <w:bCs/>
          <w:sz w:val="18"/>
          <w:szCs w:val="18"/>
          <w:highlight w:val="none"/>
          <w:u w:val="single"/>
          <w:lang w:val="en-US" w:eastAsia="zh-CN"/>
        </w:rPr>
        <w:t>6</w:t>
      </w:r>
      <w:r>
        <w:rPr>
          <w:rFonts w:hint="eastAsia" w:asciiTheme="majorEastAsia" w:hAnsiTheme="majorEastAsia" w:eastAsiaTheme="majorEastAsia" w:cstheme="majorEastAsia"/>
          <w:b/>
          <w:bCs/>
          <w:sz w:val="18"/>
          <w:szCs w:val="18"/>
          <w:highlight w:val="none"/>
          <w:u w:val="single"/>
        </w:rPr>
        <w:t>月</w:t>
      </w:r>
      <w:r>
        <w:rPr>
          <w:rFonts w:hint="eastAsia" w:asciiTheme="majorEastAsia" w:hAnsiTheme="majorEastAsia" w:eastAsiaTheme="majorEastAsia" w:cstheme="majorEastAsia"/>
          <w:b/>
          <w:bCs/>
          <w:sz w:val="18"/>
          <w:szCs w:val="18"/>
          <w:highlight w:val="none"/>
          <w:u w:val="single"/>
          <w:lang w:val="en-US" w:eastAsia="zh-CN"/>
        </w:rPr>
        <w:t>18</w:t>
      </w:r>
      <w:r>
        <w:rPr>
          <w:rFonts w:hint="eastAsia" w:asciiTheme="majorEastAsia" w:hAnsiTheme="majorEastAsia" w:eastAsiaTheme="majorEastAsia" w:cstheme="majorEastAsia"/>
          <w:b/>
          <w:bCs/>
          <w:sz w:val="18"/>
          <w:szCs w:val="18"/>
          <w:highlight w:val="none"/>
          <w:u w:val="single"/>
        </w:rPr>
        <w:t>日9时00分至9时30分</w:t>
      </w:r>
      <w:r>
        <w:rPr>
          <w:rFonts w:hint="eastAsia" w:asciiTheme="majorEastAsia" w:hAnsiTheme="majorEastAsia" w:eastAsiaTheme="majorEastAsia" w:cstheme="majorEastAsia"/>
          <w:b/>
          <w:bCs/>
          <w:sz w:val="18"/>
          <w:szCs w:val="18"/>
          <w:highlight w:val="none"/>
        </w:rPr>
        <w:t>（北京时间）</w:t>
      </w:r>
    </w:p>
    <w:p w14:paraId="60993A02">
      <w:pPr>
        <w:spacing w:line="480" w:lineRule="exac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（2）文件提交地点：</w:t>
      </w:r>
      <w:r>
        <w:rPr>
          <w:rFonts w:hint="eastAsia" w:asciiTheme="majorEastAsia" w:hAnsiTheme="majorEastAsia" w:eastAsiaTheme="majorEastAsia" w:cstheme="majorEastAsia"/>
          <w:kern w:val="0"/>
          <w:sz w:val="18"/>
          <w:szCs w:val="18"/>
        </w:rPr>
        <w:t>柳州职业技术大学（柳州市社湾路28号）A区办公楼201室</w:t>
      </w:r>
    </w:p>
    <w:p w14:paraId="23A29EDB">
      <w:pPr>
        <w:spacing w:line="480" w:lineRule="exac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b/>
          <w:sz w:val="18"/>
          <w:szCs w:val="18"/>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凡对本次采购提出询问，请按以下方式联系</w:t>
      </w:r>
    </w:p>
    <w:p w14:paraId="5220CED7">
      <w:pPr>
        <w:widowControl/>
        <w:adjustRightInd w:val="0"/>
        <w:snapToGrid w:val="0"/>
        <w:spacing w:line="520" w:lineRule="exact"/>
        <w:jc w:val="left"/>
        <w:rPr>
          <w:rFonts w:hint="eastAsia" w:asciiTheme="majorEastAsia" w:hAnsiTheme="majorEastAsia" w:eastAsiaTheme="majorEastAsia" w:cstheme="majorEastAsia"/>
          <w:bCs/>
          <w:kern w:val="0"/>
          <w:sz w:val="18"/>
          <w:szCs w:val="18"/>
          <w:lang w:bidi="en-US"/>
        </w:rPr>
      </w:pPr>
      <w:r>
        <w:rPr>
          <w:rFonts w:hint="eastAsia" w:asciiTheme="majorEastAsia" w:hAnsiTheme="majorEastAsia" w:eastAsiaTheme="majorEastAsia" w:cstheme="majorEastAsia"/>
          <w:bCs/>
          <w:kern w:val="0"/>
          <w:sz w:val="18"/>
          <w:szCs w:val="18"/>
          <w:lang w:bidi="en-US"/>
        </w:rPr>
        <w:t>（1）技术及需求咨询联系人：王</w:t>
      </w:r>
      <w:r>
        <w:rPr>
          <w:rFonts w:hint="eastAsia" w:asciiTheme="majorEastAsia" w:hAnsiTheme="majorEastAsia" w:eastAsiaTheme="majorEastAsia" w:cstheme="majorEastAsia"/>
          <w:bCs/>
          <w:kern w:val="0"/>
          <w:sz w:val="18"/>
          <w:szCs w:val="18"/>
          <w:lang w:val="en-US" w:eastAsia="zh-CN" w:bidi="en-US"/>
        </w:rPr>
        <w:t>老师</w:t>
      </w:r>
      <w:r>
        <w:rPr>
          <w:rFonts w:hint="eastAsia" w:asciiTheme="majorEastAsia" w:hAnsiTheme="majorEastAsia" w:eastAsiaTheme="majorEastAsia" w:cstheme="majorEastAsia"/>
          <w:bCs/>
          <w:kern w:val="0"/>
          <w:sz w:val="18"/>
          <w:szCs w:val="18"/>
          <w:lang w:bidi="en-US"/>
        </w:rPr>
        <w:t xml:space="preserve">   联系电话：18934829352 。</w:t>
      </w:r>
    </w:p>
    <w:p w14:paraId="4FABFDAC">
      <w:pPr>
        <w:widowControl/>
        <w:adjustRightInd w:val="0"/>
        <w:snapToGrid w:val="0"/>
        <w:spacing w:line="520" w:lineRule="exact"/>
        <w:jc w:val="left"/>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 xml:space="preserve">（2）报价文件接收联系人：资产管理处办公室工作人员      联系电话：0772-3156307   </w:t>
      </w:r>
    </w:p>
    <w:p w14:paraId="0C265B17">
      <w:pPr>
        <w:widowControl/>
        <w:jc w:val="left"/>
        <w:rPr>
          <w:rFonts w:asciiTheme="majorEastAsia" w:hAnsiTheme="majorEastAsia" w:eastAsiaTheme="majorEastAsia" w:cstheme="majorEastAsia"/>
          <w:sz w:val="18"/>
          <w:szCs w:val="18"/>
        </w:rPr>
      </w:pPr>
    </w:p>
    <w:p w14:paraId="14AE9005">
      <w:pPr>
        <w:widowControl/>
        <w:ind w:firstLine="9306" w:firstLineChars="5150"/>
        <w:jc w:val="left"/>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柳州职业技术大学</w:t>
      </w:r>
    </w:p>
    <w:p w14:paraId="25731739">
      <w:pPr>
        <w:widowControl/>
        <w:jc w:val="left"/>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 xml:space="preserve">                                                                         </w:t>
      </w:r>
      <w:r>
        <w:rPr>
          <w:rFonts w:hint="eastAsia" w:asciiTheme="majorEastAsia" w:hAnsiTheme="majorEastAsia" w:eastAsiaTheme="majorEastAsia" w:cstheme="majorEastAsia"/>
          <w:b/>
          <w:sz w:val="18"/>
          <w:szCs w:val="18"/>
          <w:lang w:val="en-US" w:eastAsia="zh-CN"/>
        </w:rPr>
        <w:t xml:space="preserve">                              </w:t>
      </w:r>
      <w:r>
        <w:rPr>
          <w:rFonts w:hint="eastAsia" w:asciiTheme="majorEastAsia" w:hAnsiTheme="majorEastAsia" w:eastAsiaTheme="majorEastAsia" w:cstheme="majorEastAsia"/>
          <w:b/>
          <w:sz w:val="18"/>
          <w:szCs w:val="18"/>
        </w:rPr>
        <w:t>2026年</w:t>
      </w:r>
      <w:r>
        <w:rPr>
          <w:rFonts w:hint="eastAsia" w:asciiTheme="majorEastAsia" w:hAnsiTheme="majorEastAsia" w:eastAsiaTheme="majorEastAsia" w:cstheme="majorEastAsia"/>
          <w:b/>
          <w:sz w:val="18"/>
          <w:szCs w:val="18"/>
          <w:lang w:val="en-US" w:eastAsia="zh-CN"/>
        </w:rPr>
        <w:t>6</w:t>
      </w:r>
      <w:r>
        <w:rPr>
          <w:rFonts w:hint="eastAsia" w:asciiTheme="majorEastAsia" w:hAnsiTheme="majorEastAsia" w:eastAsiaTheme="majorEastAsia" w:cstheme="majorEastAsia"/>
          <w:b/>
          <w:sz w:val="18"/>
          <w:szCs w:val="18"/>
        </w:rPr>
        <w:t>月</w:t>
      </w:r>
      <w:r>
        <w:rPr>
          <w:rFonts w:hint="eastAsia" w:asciiTheme="majorEastAsia" w:hAnsiTheme="majorEastAsia" w:eastAsiaTheme="majorEastAsia" w:cstheme="majorEastAsia"/>
          <w:b/>
          <w:sz w:val="18"/>
          <w:szCs w:val="18"/>
          <w:lang w:val="en-US" w:eastAsia="zh-CN"/>
        </w:rPr>
        <w:t>10</w:t>
      </w:r>
      <w:r>
        <w:rPr>
          <w:rFonts w:hint="eastAsia" w:asciiTheme="majorEastAsia" w:hAnsiTheme="majorEastAsia" w:eastAsiaTheme="majorEastAsia" w:cstheme="majorEastAsia"/>
          <w:b/>
          <w:sz w:val="18"/>
          <w:szCs w:val="18"/>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4BA261F7">
      <w:pPr>
        <w:pStyle w:val="7"/>
      </w:pPr>
    </w:p>
    <w:p w14:paraId="0CCE5785">
      <w:pPr>
        <w:pStyle w:val="7"/>
      </w:pPr>
    </w:p>
    <w:p w14:paraId="611579DD">
      <w:pPr>
        <w:pStyle w:val="7"/>
      </w:pPr>
    </w:p>
    <w:p w14:paraId="10821A60">
      <w:pPr>
        <w:pStyle w:val="7"/>
      </w:pPr>
    </w:p>
    <w:p w14:paraId="5325E002">
      <w:pPr>
        <w:pStyle w:val="7"/>
      </w:pPr>
    </w:p>
    <w:p w14:paraId="1DF5414A">
      <w:pPr>
        <w:pStyle w:val="7"/>
      </w:pPr>
    </w:p>
    <w:p w14:paraId="403EF82E">
      <w:pPr>
        <w:pStyle w:val="7"/>
      </w:pPr>
    </w:p>
    <w:p w14:paraId="0E3CCCFD">
      <w:pPr>
        <w:pStyle w:val="7"/>
      </w:pPr>
    </w:p>
    <w:p w14:paraId="0B04879C">
      <w:pPr>
        <w:pStyle w:val="7"/>
      </w:pPr>
    </w:p>
    <w:p w14:paraId="4FD8EFB5">
      <w:pPr>
        <w:pStyle w:val="7"/>
      </w:pPr>
    </w:p>
    <w:p w14:paraId="79F3FD6D">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69F37D6F">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107424598"/>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ascii="宋体" w:hAnsi="宋体" w:eastAsia="仿宋" w:cs="Times New Roman"/>
          <w:bCs/>
          <w:sz w:val="32"/>
          <w:szCs w:val="32"/>
          <w:u w:val="single"/>
        </w:rPr>
      </w:pPr>
    </w:p>
    <w:p w14:paraId="4A027DC1">
      <w:pPr>
        <w:snapToGrid w:val="0"/>
        <w:spacing w:line="276" w:lineRule="auto"/>
        <w:ind w:firstLine="640" w:firstLineChars="200"/>
        <w:jc w:val="left"/>
        <w:rPr>
          <w:rFonts w:ascii="宋体" w:hAnsi="宋体" w:eastAsia="仿宋" w:cs="Times New Roman"/>
          <w:bCs/>
          <w:sz w:val="32"/>
          <w:szCs w:val="32"/>
          <w:u w:val="single"/>
        </w:rPr>
      </w:pPr>
    </w:p>
    <w:p w14:paraId="5C9AC284">
      <w:pPr>
        <w:snapToGrid w:val="0"/>
        <w:spacing w:line="276" w:lineRule="auto"/>
        <w:ind w:firstLine="640" w:firstLineChars="200"/>
        <w:jc w:val="left"/>
        <w:rPr>
          <w:rFonts w:ascii="宋体" w:hAnsi="宋体" w:eastAsia="仿宋" w:cs="Times New Roman"/>
          <w:bCs/>
          <w:sz w:val="32"/>
          <w:szCs w:val="32"/>
          <w:u w:val="single"/>
        </w:rPr>
      </w:pPr>
    </w:p>
    <w:p w14:paraId="36425F6D">
      <w:pPr>
        <w:snapToGrid w:val="0"/>
        <w:spacing w:before="156"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Ansi="仿宋"/>
          <w:bCs/>
          <w:sz w:val="32"/>
          <w:szCs w:val="32"/>
        </w:rPr>
      </w:pPr>
      <w:r>
        <w:rPr>
          <w:rFonts w:hint="eastAsia" w:hAnsi="仿宋"/>
          <w:bCs/>
          <w:sz w:val="32"/>
          <w:szCs w:val="32"/>
        </w:rPr>
        <w:t>正本/副本</w:t>
      </w:r>
    </w:p>
    <w:p w14:paraId="418AD244">
      <w:pPr>
        <w:snapToGrid w:val="0"/>
        <w:spacing w:before="156" w:beforeLines="50" w:after="50" w:line="360" w:lineRule="exact"/>
        <w:rPr>
          <w:rFonts w:ascii="宋体" w:hAnsi="宋体" w:eastAsia="宋体" w:cs="Times New Roman"/>
          <w:b/>
          <w:sz w:val="44"/>
          <w:szCs w:val="24"/>
        </w:rPr>
      </w:pPr>
    </w:p>
    <w:p w14:paraId="76120DB3">
      <w:pPr>
        <w:snapToGrid w:val="0"/>
        <w:spacing w:before="156" w:beforeLines="50" w:after="50" w:line="360" w:lineRule="exact"/>
        <w:ind w:firstLine="3278" w:firstLineChars="742"/>
        <w:rPr>
          <w:rFonts w:ascii="宋体" w:hAnsi="宋体" w:eastAsia="宋体" w:cs="Times New Roman"/>
          <w:b/>
          <w:sz w:val="44"/>
          <w:szCs w:val="24"/>
        </w:rPr>
      </w:pPr>
    </w:p>
    <w:p w14:paraId="4E1BF81E">
      <w:pPr>
        <w:jc w:val="center"/>
        <w:outlineLvl w:val="1"/>
        <w:rPr>
          <w:rFonts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ascii="仿宋" w:hAnsi="仿宋" w:eastAsia="仿宋" w:cs="Times New Roman"/>
          <w:b/>
          <w:sz w:val="32"/>
          <w:szCs w:val="32"/>
        </w:rPr>
      </w:pPr>
    </w:p>
    <w:p w14:paraId="52E8417B">
      <w:pPr>
        <w:jc w:val="left"/>
        <w:outlineLvl w:val="1"/>
        <w:rPr>
          <w:rFonts w:ascii="仿宋" w:hAnsi="仿宋" w:eastAsia="仿宋" w:cs="Times New Roman"/>
          <w:b/>
          <w:sz w:val="32"/>
          <w:szCs w:val="32"/>
        </w:rPr>
      </w:pPr>
    </w:p>
    <w:p w14:paraId="7299D7E1">
      <w:pPr>
        <w:jc w:val="left"/>
        <w:outlineLvl w:val="1"/>
        <w:rPr>
          <w:rFonts w:ascii="仿宋" w:hAnsi="仿宋" w:eastAsia="仿宋" w:cs="Times New Roman"/>
          <w:b/>
          <w:sz w:val="32"/>
          <w:szCs w:val="32"/>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14735861">
            <w:pPr>
              <w:spacing w:line="360" w:lineRule="exact"/>
              <w:jc w:val="left"/>
              <w:rPr>
                <w:rFonts w:ascii="仿宋" w:hAnsi="仿宋" w:eastAsia="仿宋" w:cs="Arial"/>
                <w:bCs/>
                <w:sz w:val="30"/>
                <w:szCs w:val="30"/>
                <w:lang w:val="en-US" w:eastAsia="zh-CN"/>
              </w:rPr>
            </w:pPr>
            <w:r>
              <w:rPr>
                <w:rFonts w:hint="eastAsia" w:ascii="仿宋" w:hAnsi="仿宋" w:eastAsia="仿宋" w:cs="Arial"/>
                <w:bCs/>
                <w:sz w:val="30"/>
                <w:szCs w:val="30"/>
                <w:lang w:val="en-US" w:eastAsia="zh-CN"/>
              </w:rPr>
              <w:t>供货时间：自合同签订之日起</w:t>
            </w:r>
            <w:r>
              <w:rPr>
                <w:rFonts w:hint="eastAsia" w:ascii="仿宋" w:hAnsi="仿宋" w:eastAsia="仿宋" w:cs="Arial"/>
                <w:bCs/>
                <w:sz w:val="30"/>
                <w:szCs w:val="30"/>
                <w:u w:val="single"/>
                <w:lang w:val="en-US" w:eastAsia="zh-CN"/>
              </w:rPr>
              <w:t xml:space="preserve">   日</w:t>
            </w:r>
            <w:r>
              <w:rPr>
                <w:rFonts w:hint="eastAsia" w:ascii="仿宋" w:hAnsi="仿宋" w:eastAsia="仿宋" w:cs="Arial"/>
                <w:bCs/>
                <w:sz w:val="30"/>
                <w:szCs w:val="30"/>
                <w:lang w:val="en-US" w:eastAsia="zh-CN"/>
              </w:rPr>
              <w:t>内验收合格并交付使用。</w:t>
            </w:r>
          </w:p>
          <w:p w14:paraId="7FDEC76E">
            <w:pPr>
              <w:spacing w:line="360" w:lineRule="exact"/>
              <w:jc w:val="left"/>
              <w:rPr>
                <w:rFonts w:ascii="宋体" w:hAnsi="宋体" w:eastAsia="宋体" w:cs="宋体"/>
                <w:spacing w:val="-1"/>
                <w:kern w:val="2"/>
                <w:sz w:val="19"/>
                <w:szCs w:val="19"/>
                <w:lang w:val="en-US" w:eastAsia="zh-CN" w:bidi="ar-SA"/>
              </w:rPr>
            </w:pPr>
            <w:r>
              <w:rPr>
                <w:rFonts w:hint="eastAsia" w:ascii="仿宋" w:hAnsi="仿宋" w:eastAsia="仿宋" w:cs="Arial"/>
                <w:bCs/>
                <w:sz w:val="30"/>
                <w:szCs w:val="30"/>
                <w:lang w:val="en-US" w:eastAsia="zh-CN"/>
              </w:rPr>
              <w:t xml:space="preserve">质保期：自验收合格并交付使用之日起 </w:t>
            </w:r>
            <w:r>
              <w:rPr>
                <w:rFonts w:hint="eastAsia" w:ascii="仿宋" w:hAnsi="仿宋" w:eastAsia="仿宋" w:cs="Arial"/>
                <w:bCs/>
                <w:sz w:val="30"/>
                <w:szCs w:val="30"/>
                <w:u w:val="single"/>
                <w:lang w:val="en-US" w:eastAsia="zh-CN"/>
              </w:rPr>
              <w:t xml:space="preserve">   年</w:t>
            </w:r>
            <w:r>
              <w:rPr>
                <w:rFonts w:hint="eastAsia" w:ascii="仿宋" w:hAnsi="仿宋" w:eastAsia="仿宋" w:cs="Arial"/>
                <w:bCs/>
                <w:sz w:val="30"/>
                <w:szCs w:val="30"/>
                <w:lang w:val="en-US" w:eastAsia="zh-CN"/>
              </w:rPr>
              <w:t>。</w:t>
            </w:r>
          </w:p>
          <w:p w14:paraId="4759D15B">
            <w:pPr>
              <w:pStyle w:val="7"/>
            </w:pP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lang w:val="en-US" w:eastAsia="zh-CN"/>
        </w:rPr>
        <w:t>项目</w:t>
      </w:r>
      <w:bookmarkStart w:id="55" w:name="_GoBack"/>
      <w:bookmarkEnd w:id="55"/>
      <w:r>
        <w:rPr>
          <w:rFonts w:hint="eastAsia" w:ascii="宋体" w:hAnsi="宋体"/>
          <w:sz w:val="28"/>
        </w:rPr>
        <w:t>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1349578"/>
            <w:bookmarkStart w:id="6" w:name="_Toc173066401"/>
            <w:bookmarkStart w:id="7" w:name="_Toc254970729"/>
            <w:bookmarkStart w:id="8" w:name="_Toc254970588"/>
            <w:bookmarkStart w:id="9" w:name="_Toc173211900"/>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732"/>
            <w:bookmarkStart w:id="12" w:name="_Toc173066404"/>
            <w:bookmarkStart w:id="13" w:name="_Toc173211903"/>
            <w:bookmarkStart w:id="14" w:name="_Toc405905879"/>
            <w:bookmarkStart w:id="15" w:name="_Toc254970591"/>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733"/>
            <w:bookmarkStart w:id="18" w:name="_Toc254970592"/>
            <w:bookmarkStart w:id="19" w:name="_Toc173211904"/>
            <w:bookmarkStart w:id="20" w:name="_Toc173066405"/>
            <w:bookmarkStart w:id="21" w:name="_Toc405905880"/>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1349584"/>
            <w:bookmarkStart w:id="26" w:name="_Toc173066406"/>
            <w:bookmarkStart w:id="27" w:name="_Toc173211905"/>
            <w:bookmarkStart w:id="28" w:name="_Toc405905882"/>
            <w:bookmarkStart w:id="29" w:name="_Toc254970593"/>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735"/>
            <w:bookmarkStart w:id="32" w:name="_Toc171349585"/>
            <w:bookmarkStart w:id="33" w:name="_Toc173066407"/>
            <w:bookmarkStart w:id="34" w:name="_Toc405905883"/>
            <w:bookmarkStart w:id="35" w:name="_Toc254970594"/>
            <w:bookmarkStart w:id="36" w:name="_Toc173211906"/>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173066408"/>
            <w:bookmarkStart w:id="39" w:name="_Toc254970595"/>
            <w:bookmarkStart w:id="40" w:name="_Toc405905884"/>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eastAsia" w:cs="Times New Roman"/>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01FD"/>
    <w:rsid w:val="00085DC7"/>
    <w:rsid w:val="00086BE8"/>
    <w:rsid w:val="00091BBA"/>
    <w:rsid w:val="00093CB1"/>
    <w:rsid w:val="00097D3A"/>
    <w:rsid w:val="000A3C1B"/>
    <w:rsid w:val="000A5A19"/>
    <w:rsid w:val="000C12D4"/>
    <w:rsid w:val="000C7233"/>
    <w:rsid w:val="000E305F"/>
    <w:rsid w:val="000E7B28"/>
    <w:rsid w:val="00103A4C"/>
    <w:rsid w:val="00110976"/>
    <w:rsid w:val="00125DE1"/>
    <w:rsid w:val="00134FBB"/>
    <w:rsid w:val="00137857"/>
    <w:rsid w:val="00147DB2"/>
    <w:rsid w:val="00161A9C"/>
    <w:rsid w:val="00163B96"/>
    <w:rsid w:val="0016583F"/>
    <w:rsid w:val="00170FBE"/>
    <w:rsid w:val="0018078E"/>
    <w:rsid w:val="001819B9"/>
    <w:rsid w:val="001871CC"/>
    <w:rsid w:val="001A24EB"/>
    <w:rsid w:val="001A3AD1"/>
    <w:rsid w:val="001B5FA5"/>
    <w:rsid w:val="001C2881"/>
    <w:rsid w:val="001C3BDA"/>
    <w:rsid w:val="001D09A7"/>
    <w:rsid w:val="001D3CCC"/>
    <w:rsid w:val="001E526E"/>
    <w:rsid w:val="00203CF6"/>
    <w:rsid w:val="00223015"/>
    <w:rsid w:val="00245A85"/>
    <w:rsid w:val="00247900"/>
    <w:rsid w:val="0026380E"/>
    <w:rsid w:val="002674D8"/>
    <w:rsid w:val="002720D2"/>
    <w:rsid w:val="002724AA"/>
    <w:rsid w:val="00284B2E"/>
    <w:rsid w:val="002E25C1"/>
    <w:rsid w:val="002E34A0"/>
    <w:rsid w:val="002F0C1E"/>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668"/>
    <w:rsid w:val="003C6AF5"/>
    <w:rsid w:val="003D1DF7"/>
    <w:rsid w:val="003E013E"/>
    <w:rsid w:val="003F002C"/>
    <w:rsid w:val="003F4F5F"/>
    <w:rsid w:val="004215D2"/>
    <w:rsid w:val="00435A85"/>
    <w:rsid w:val="00446A40"/>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0F78"/>
    <w:rsid w:val="004F4853"/>
    <w:rsid w:val="004F5D60"/>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11009"/>
    <w:rsid w:val="00630019"/>
    <w:rsid w:val="00646167"/>
    <w:rsid w:val="00664795"/>
    <w:rsid w:val="00671147"/>
    <w:rsid w:val="00672F61"/>
    <w:rsid w:val="00677DB4"/>
    <w:rsid w:val="0068268A"/>
    <w:rsid w:val="0068443C"/>
    <w:rsid w:val="006948FD"/>
    <w:rsid w:val="00695F0E"/>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93DDD"/>
    <w:rsid w:val="007A25FA"/>
    <w:rsid w:val="007A2634"/>
    <w:rsid w:val="007B3216"/>
    <w:rsid w:val="007E2010"/>
    <w:rsid w:val="007F5CD8"/>
    <w:rsid w:val="007F67CC"/>
    <w:rsid w:val="00804F65"/>
    <w:rsid w:val="00842DFC"/>
    <w:rsid w:val="008450BD"/>
    <w:rsid w:val="00853E6F"/>
    <w:rsid w:val="00865654"/>
    <w:rsid w:val="00870FEB"/>
    <w:rsid w:val="00890D55"/>
    <w:rsid w:val="00893A92"/>
    <w:rsid w:val="00895149"/>
    <w:rsid w:val="008A0B0E"/>
    <w:rsid w:val="008A0FDD"/>
    <w:rsid w:val="008E0AA6"/>
    <w:rsid w:val="009225D0"/>
    <w:rsid w:val="009225FE"/>
    <w:rsid w:val="009276C3"/>
    <w:rsid w:val="009449B4"/>
    <w:rsid w:val="00951FAE"/>
    <w:rsid w:val="00955C64"/>
    <w:rsid w:val="00967AD8"/>
    <w:rsid w:val="00967E5C"/>
    <w:rsid w:val="00972AAD"/>
    <w:rsid w:val="00973747"/>
    <w:rsid w:val="00980E15"/>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11E5"/>
    <w:rsid w:val="00B766AF"/>
    <w:rsid w:val="00B936BD"/>
    <w:rsid w:val="00B965BD"/>
    <w:rsid w:val="00BA1CC8"/>
    <w:rsid w:val="00BB7677"/>
    <w:rsid w:val="00BF369B"/>
    <w:rsid w:val="00C31B42"/>
    <w:rsid w:val="00C43775"/>
    <w:rsid w:val="00C460D6"/>
    <w:rsid w:val="00C472CE"/>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0E2"/>
    <w:rsid w:val="00E70646"/>
    <w:rsid w:val="00EA6ED2"/>
    <w:rsid w:val="00EB66A6"/>
    <w:rsid w:val="00F04090"/>
    <w:rsid w:val="00F13735"/>
    <w:rsid w:val="00F2656E"/>
    <w:rsid w:val="00F37774"/>
    <w:rsid w:val="00F472D9"/>
    <w:rsid w:val="00F50F96"/>
    <w:rsid w:val="00F51F16"/>
    <w:rsid w:val="00F53703"/>
    <w:rsid w:val="00F73AA4"/>
    <w:rsid w:val="00F762F8"/>
    <w:rsid w:val="00F9005E"/>
    <w:rsid w:val="00FA0419"/>
    <w:rsid w:val="00FB08FE"/>
    <w:rsid w:val="00FB1379"/>
    <w:rsid w:val="00FC331E"/>
    <w:rsid w:val="00FD5DFE"/>
    <w:rsid w:val="00FE1249"/>
    <w:rsid w:val="00FE2318"/>
    <w:rsid w:val="00FE5CFF"/>
    <w:rsid w:val="05B955A9"/>
    <w:rsid w:val="0C911AFA"/>
    <w:rsid w:val="0D110A42"/>
    <w:rsid w:val="0DE15120"/>
    <w:rsid w:val="0F7909A8"/>
    <w:rsid w:val="0FE93A22"/>
    <w:rsid w:val="105D1B31"/>
    <w:rsid w:val="13476DF8"/>
    <w:rsid w:val="1487397E"/>
    <w:rsid w:val="15AE7FD9"/>
    <w:rsid w:val="19921C4D"/>
    <w:rsid w:val="1A4772B8"/>
    <w:rsid w:val="1A675CCB"/>
    <w:rsid w:val="1AAB0964"/>
    <w:rsid w:val="1B912C21"/>
    <w:rsid w:val="1F2D6B06"/>
    <w:rsid w:val="1F752E36"/>
    <w:rsid w:val="21002179"/>
    <w:rsid w:val="22A52928"/>
    <w:rsid w:val="234A77AC"/>
    <w:rsid w:val="23894BA9"/>
    <w:rsid w:val="252218B8"/>
    <w:rsid w:val="25EA35B4"/>
    <w:rsid w:val="29521158"/>
    <w:rsid w:val="2B5B3134"/>
    <w:rsid w:val="2C8F0B18"/>
    <w:rsid w:val="303A0730"/>
    <w:rsid w:val="316424EB"/>
    <w:rsid w:val="33194A17"/>
    <w:rsid w:val="33B40159"/>
    <w:rsid w:val="35395E5F"/>
    <w:rsid w:val="37FC2926"/>
    <w:rsid w:val="39124E76"/>
    <w:rsid w:val="3D271595"/>
    <w:rsid w:val="3D33323A"/>
    <w:rsid w:val="3EA877F7"/>
    <w:rsid w:val="40A908BA"/>
    <w:rsid w:val="4405042F"/>
    <w:rsid w:val="4AB3020D"/>
    <w:rsid w:val="4C226D34"/>
    <w:rsid w:val="4D685148"/>
    <w:rsid w:val="4DD7293B"/>
    <w:rsid w:val="4E493DD8"/>
    <w:rsid w:val="51735FAB"/>
    <w:rsid w:val="51C632B8"/>
    <w:rsid w:val="52157E35"/>
    <w:rsid w:val="54DE3801"/>
    <w:rsid w:val="58415592"/>
    <w:rsid w:val="5C1C2E1C"/>
    <w:rsid w:val="5CE220FC"/>
    <w:rsid w:val="5DFD28D7"/>
    <w:rsid w:val="5EC6574C"/>
    <w:rsid w:val="611132B9"/>
    <w:rsid w:val="62F04A54"/>
    <w:rsid w:val="63772297"/>
    <w:rsid w:val="63EE34BC"/>
    <w:rsid w:val="68A43AD7"/>
    <w:rsid w:val="6C1A549F"/>
    <w:rsid w:val="6F674ABD"/>
    <w:rsid w:val="7066285B"/>
    <w:rsid w:val="70BA2651"/>
    <w:rsid w:val="733A21E7"/>
    <w:rsid w:val="75106CE6"/>
    <w:rsid w:val="75822D8C"/>
    <w:rsid w:val="75AA195E"/>
    <w:rsid w:val="78016779"/>
    <w:rsid w:val="7A8770A4"/>
    <w:rsid w:val="7B7B4F8D"/>
    <w:rsid w:val="7BA30B19"/>
    <w:rsid w:val="7C0E5F18"/>
    <w:rsid w:val="7C9557AD"/>
    <w:rsid w:val="7CF240BC"/>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19"/>
      <w:szCs w:val="19"/>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8122</Words>
  <Characters>8468</Characters>
  <Lines>73</Lines>
  <Paragraphs>20</Paragraphs>
  <TotalTime>2</TotalTime>
  <ScaleCrop>false</ScaleCrop>
  <LinksUpToDate>false</LinksUpToDate>
  <CharactersWithSpaces>9777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2026-05-07T15:30:00Z</dcterms:created>
  <dc:creator>Windows</dc:creator>
  <cp:lastModifiedBy> RONG</cp:lastModifiedBy>
  <dcterms:modified xsi:type="dcterms:W3CDTF">2026-06-10T09:46:23Z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