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570E0">
      <w:pPr>
        <w:bidi w:val="0"/>
        <w:spacing w:after="0" w:line="540" w:lineRule="exac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4CD40C17">
      <w:pPr>
        <w:spacing w:after="0" w:line="540" w:lineRule="exact"/>
        <w:jc w:val="center"/>
        <w:rPr>
          <w:rFonts w:hint="eastAsia" w:ascii="方正小标宋简体" w:eastAsia="方正小标宋简体"/>
          <w:color w:val="auto"/>
          <w:sz w:val="44"/>
          <w:szCs w:val="44"/>
        </w:rPr>
      </w:pPr>
    </w:p>
    <w:p w14:paraId="601C8A34">
      <w:pPr>
        <w:spacing w:after="0" w:line="54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教育部广西高等研究院校企联合</w:t>
      </w:r>
      <w:r>
        <w:rPr>
          <w:rFonts w:hint="eastAsia" w:ascii="方正小标宋简体" w:eastAsia="方正小标宋简体"/>
          <w:color w:val="auto"/>
          <w:sz w:val="44"/>
          <w:szCs w:val="44"/>
          <w:lang w:eastAsia="zh-CN"/>
        </w:rPr>
        <w:t>人才培养和</w:t>
      </w:r>
      <w:r>
        <w:rPr>
          <w:rFonts w:hint="eastAsia" w:ascii="方正小标宋简体" w:eastAsia="方正小标宋简体"/>
          <w:color w:val="auto"/>
          <w:sz w:val="44"/>
          <w:szCs w:val="44"/>
        </w:rPr>
        <w:t>科研攻关储备项目库建设方案（试行）</w:t>
      </w:r>
    </w:p>
    <w:p w14:paraId="7C002E40">
      <w:pPr>
        <w:spacing w:after="0" w:line="540" w:lineRule="exact"/>
        <w:jc w:val="center"/>
        <w:rPr>
          <w:rFonts w:hint="eastAsia" w:ascii="方正小标宋简体" w:eastAsia="方正小标宋简体"/>
          <w:color w:val="auto"/>
          <w:sz w:val="44"/>
          <w:szCs w:val="44"/>
        </w:rPr>
      </w:pPr>
    </w:p>
    <w:p w14:paraId="0B7EB7E3">
      <w:pPr>
        <w:overflowPunct w:val="0"/>
        <w:spacing w:after="0" w:line="54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一、总则</w:t>
      </w:r>
    </w:p>
    <w:p w14:paraId="68D5A172">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（一）建设背景</w:t>
      </w:r>
    </w:p>
    <w:p w14:paraId="5F0D79DB">
      <w:pPr>
        <w:adjustRightInd w:val="0"/>
        <w:spacing w:after="0" w:line="54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为深入贯彻教育、科技、人才一体化发展部署，服务国家战略、广西面向东盟开放发展及“十五五”规划，结合</w:t>
      </w:r>
      <w:r>
        <w:rPr>
          <w:rFonts w:ascii="仿宋" w:hAnsi="仿宋" w:eastAsia="仿宋"/>
          <w:color w:val="auto"/>
          <w:sz w:val="32"/>
          <w:szCs w:val="32"/>
        </w:rPr>
        <w:t>教育部广西高等研究院（以下简称广西高研院）</w:t>
      </w:r>
      <w:r>
        <w:rPr>
          <w:rFonts w:hint="eastAsia" w:ascii="仿宋" w:hAnsi="仿宋" w:eastAsia="仿宋"/>
          <w:color w:val="auto"/>
          <w:sz w:val="32"/>
          <w:szCs w:val="32"/>
        </w:rPr>
        <w:t>稀土及关键金属矿产资源开发利用、人工智能集成技术应用、区域国别和东盟非通用语研究应用三大核心领域建设实际，构建开放共享、动态管理、供需精准、研用衔接的项目库，形成“企业出题、政府立题、高校解题、市场判题”全链条运行机制，支撑高层次人才培养、关键技术攻关、科技成果转化与学科建设协同发展。坚持以产业发展、市场需求和战略需要为牵引，精准对接企业技术需求与高校科研资源，搭建校企协同创新平台，开展产业关键技术联合攻关，为企业培养产业拔尖创新人才，促进科技成果转化应用，带动地方高校学科建设，推动广西教育、科技、产业、平台和国际合作的融合发展。</w:t>
      </w:r>
    </w:p>
    <w:p w14:paraId="21B19CC4">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（二）建设目标</w:t>
      </w:r>
    </w:p>
    <w:p w14:paraId="544FC353">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全面建成覆盖</w:t>
      </w:r>
      <w:r>
        <w:rPr>
          <w:rFonts w:hint="eastAsia" w:ascii="仿宋" w:hAnsi="仿宋" w:eastAsia="仿宋"/>
          <w:color w:val="auto"/>
          <w:sz w:val="32"/>
          <w:szCs w:val="32"/>
        </w:rPr>
        <w:t>稀土及关键金属矿产资源开发利用</w:t>
      </w:r>
      <w:r>
        <w:rPr>
          <w:rFonts w:ascii="仿宋" w:hAnsi="仿宋" w:eastAsia="仿宋"/>
          <w:color w:val="auto"/>
          <w:sz w:val="32"/>
          <w:szCs w:val="32"/>
        </w:rPr>
        <w:t>、人工智能集成技术应用、</w:t>
      </w:r>
      <w:r>
        <w:rPr>
          <w:rFonts w:hint="eastAsia" w:ascii="仿宋" w:hAnsi="仿宋" w:eastAsia="仿宋"/>
          <w:color w:val="auto"/>
          <w:sz w:val="32"/>
          <w:szCs w:val="32"/>
        </w:rPr>
        <w:t>区域国别和东盟非通用语研究应用</w:t>
      </w:r>
      <w:r>
        <w:rPr>
          <w:rFonts w:ascii="仿宋" w:hAnsi="仿宋" w:eastAsia="仿宋"/>
          <w:color w:val="auto"/>
          <w:sz w:val="32"/>
          <w:szCs w:val="32"/>
        </w:rPr>
        <w:t>三大核心领域，科学划分待研、预研</w:t>
      </w:r>
      <w:r>
        <w:rPr>
          <w:rFonts w:hint="eastAsia" w:ascii="仿宋" w:hAnsi="仿宋" w:eastAsia="仿宋"/>
          <w:color w:val="auto"/>
          <w:sz w:val="32"/>
          <w:szCs w:val="32"/>
          <w:lang w:val="en-US" w:eastAsia="zh-CN"/>
        </w:rPr>
        <w:t>两</w:t>
      </w:r>
      <w:r>
        <w:rPr>
          <w:rFonts w:ascii="仿宋" w:hAnsi="仿宋" w:eastAsia="仿宋"/>
          <w:color w:val="auto"/>
          <w:sz w:val="32"/>
          <w:szCs w:val="32"/>
        </w:rPr>
        <w:t>类项目，深度融合校企协同创新的优质项目资源池，实现项目常态化储备、规范化遴选、数字化管理，为科研攻关与人才培养筑牢资源基础。</w:t>
      </w:r>
    </w:p>
    <w:p w14:paraId="087ADBD5">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构建覆盖项目征集、审核、入库、培育、立项、结题、成果转化的全生命周期闭环管理体系，通过全流程规范管控与质量监督，切实保障项目研发质量、实施效率与落地效益。</w:t>
      </w:r>
    </w:p>
    <w:p w14:paraId="71B3222B">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精准对接企业真实技术需求、高校优质科研资源与研究生培养规划，高效匹配产学研各方资源，有力支撑</w:t>
      </w:r>
      <w:r>
        <w:rPr>
          <w:rFonts w:hint="eastAsia" w:ascii="仿宋" w:hAnsi="仿宋" w:eastAsia="仿宋"/>
          <w:color w:val="auto"/>
          <w:sz w:val="32"/>
          <w:szCs w:val="32"/>
        </w:rPr>
        <w:t>广西高研院项目</w:t>
      </w:r>
      <w:r>
        <w:rPr>
          <w:rFonts w:ascii="仿宋" w:hAnsi="仿宋" w:eastAsia="仿宋"/>
          <w:color w:val="auto"/>
          <w:sz w:val="32"/>
          <w:szCs w:val="32"/>
        </w:rPr>
        <w:t>研究生</w:t>
      </w:r>
      <w:r>
        <w:rPr>
          <w:rFonts w:hint="eastAsia" w:ascii="仿宋" w:hAnsi="仿宋" w:eastAsia="仿宋"/>
          <w:color w:val="auto"/>
          <w:sz w:val="32"/>
          <w:szCs w:val="32"/>
        </w:rPr>
        <w:t>招生与</w:t>
      </w:r>
      <w:r>
        <w:rPr>
          <w:rFonts w:ascii="仿宋" w:hAnsi="仿宋" w:eastAsia="仿宋"/>
          <w:color w:val="auto"/>
          <w:sz w:val="32"/>
          <w:szCs w:val="32"/>
        </w:rPr>
        <w:t>培养。</w:t>
      </w:r>
    </w:p>
    <w:p w14:paraId="68A02A8C">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4</w:t>
      </w:r>
      <w:r>
        <w:rPr>
          <w:rFonts w:hint="eastAsia" w:ascii="仿宋" w:hAnsi="仿宋" w:eastAsia="仿宋"/>
          <w:color w:val="auto"/>
          <w:sz w:val="32"/>
          <w:szCs w:val="32"/>
        </w:rPr>
        <w:t>.</w:t>
      </w:r>
      <w:r>
        <w:rPr>
          <w:rFonts w:ascii="仿宋" w:hAnsi="仿宋" w:eastAsia="仿宋"/>
          <w:color w:val="auto"/>
          <w:sz w:val="32"/>
          <w:szCs w:val="32"/>
        </w:rPr>
        <w:t>深度推动创新链、产业链、资金链、人才链四链高效融合联动，助力广西打造面向东盟、特色鲜明、优势突出的科教产教融合示范平台，服务</w:t>
      </w:r>
      <w:r>
        <w:rPr>
          <w:rFonts w:hint="eastAsia" w:ascii="仿宋" w:hAnsi="仿宋" w:eastAsia="仿宋"/>
          <w:color w:val="auto"/>
          <w:sz w:val="32"/>
          <w:szCs w:val="32"/>
          <w:lang w:eastAsia="zh-CN"/>
        </w:rPr>
        <w:t>国家经略周边</w:t>
      </w:r>
      <w:r>
        <w:rPr>
          <w:rFonts w:ascii="仿宋" w:hAnsi="仿宋" w:eastAsia="仿宋"/>
          <w:color w:val="auto"/>
          <w:sz w:val="32"/>
          <w:szCs w:val="32"/>
        </w:rPr>
        <w:t>与区域发展战略。</w:t>
      </w:r>
    </w:p>
    <w:p w14:paraId="645EA470">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（三）基本原则</w:t>
      </w:r>
    </w:p>
    <w:p w14:paraId="534C9496">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需求导向，产业牵引</w:t>
      </w:r>
      <w:r>
        <w:rPr>
          <w:rFonts w:hint="eastAsia" w:ascii="仿宋" w:hAnsi="仿宋" w:eastAsia="仿宋"/>
          <w:color w:val="auto"/>
          <w:sz w:val="32"/>
          <w:szCs w:val="32"/>
        </w:rPr>
        <w:t>。</w:t>
      </w:r>
      <w:r>
        <w:rPr>
          <w:rFonts w:ascii="仿宋" w:hAnsi="仿宋" w:eastAsia="仿宋"/>
          <w:color w:val="auto"/>
          <w:sz w:val="32"/>
          <w:szCs w:val="32"/>
        </w:rPr>
        <w:t>立足广西重点产业布局与中国—东盟开放合作需求，紧扣稀土及关键金属</w:t>
      </w:r>
      <w:r>
        <w:rPr>
          <w:rFonts w:hint="eastAsia" w:ascii="仿宋" w:hAnsi="仿宋" w:eastAsia="仿宋"/>
          <w:color w:val="auto"/>
          <w:sz w:val="32"/>
          <w:szCs w:val="32"/>
          <w:lang w:val="en-US" w:eastAsia="zh-CN"/>
        </w:rPr>
        <w:t>矿产</w:t>
      </w:r>
      <w:r>
        <w:rPr>
          <w:rFonts w:hint="eastAsia" w:ascii="仿宋" w:hAnsi="仿宋" w:eastAsia="仿宋"/>
          <w:color w:val="auto"/>
          <w:sz w:val="32"/>
          <w:szCs w:val="32"/>
        </w:rPr>
        <w:t>资源开发利用</w:t>
      </w:r>
      <w:r>
        <w:rPr>
          <w:rFonts w:ascii="仿宋" w:hAnsi="仿宋" w:eastAsia="仿宋"/>
          <w:color w:val="auto"/>
          <w:sz w:val="32"/>
          <w:szCs w:val="32"/>
        </w:rPr>
        <w:t>、人工智能集成技术应用、区域国别</w:t>
      </w:r>
      <w:r>
        <w:rPr>
          <w:rFonts w:hint="eastAsia" w:ascii="仿宋" w:hAnsi="仿宋" w:eastAsia="仿宋"/>
          <w:color w:val="auto"/>
          <w:sz w:val="32"/>
          <w:szCs w:val="32"/>
        </w:rPr>
        <w:t>和</w:t>
      </w:r>
      <w:r>
        <w:rPr>
          <w:rFonts w:ascii="仿宋" w:hAnsi="仿宋" w:eastAsia="仿宋"/>
          <w:color w:val="auto"/>
          <w:sz w:val="32"/>
          <w:szCs w:val="32"/>
        </w:rPr>
        <w:t>东盟非通用语</w:t>
      </w:r>
      <w:r>
        <w:rPr>
          <w:rFonts w:hint="eastAsia" w:ascii="仿宋" w:hAnsi="仿宋" w:eastAsia="仿宋"/>
          <w:color w:val="auto"/>
          <w:sz w:val="32"/>
          <w:szCs w:val="32"/>
        </w:rPr>
        <w:t>研究应用</w:t>
      </w:r>
      <w:r>
        <w:rPr>
          <w:rFonts w:ascii="仿宋" w:hAnsi="仿宋" w:eastAsia="仿宋"/>
          <w:color w:val="auto"/>
          <w:sz w:val="32"/>
          <w:szCs w:val="32"/>
        </w:rPr>
        <w:t>三大核心领域，聚焦产业真实技术瓶颈与高层次人才缺口，以产业发展牵引项目建设，保障研用衔接、供需精准。</w:t>
      </w:r>
    </w:p>
    <w:p w14:paraId="5078D2D5">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分类管理，滚动建设</w:t>
      </w:r>
      <w:r>
        <w:rPr>
          <w:rFonts w:hint="eastAsia" w:ascii="仿宋" w:hAnsi="仿宋" w:eastAsia="仿宋"/>
          <w:color w:val="auto"/>
          <w:sz w:val="32"/>
          <w:szCs w:val="32"/>
        </w:rPr>
        <w:t>。</w:t>
      </w:r>
      <w:r>
        <w:rPr>
          <w:rFonts w:ascii="仿宋" w:hAnsi="仿宋" w:eastAsia="仿宋"/>
          <w:color w:val="auto"/>
          <w:sz w:val="32"/>
          <w:szCs w:val="32"/>
        </w:rPr>
        <w:t>按项目领域、类型与成熟度分级入库，实施动态更新、优胜劣汰、持续优化的滚动管理机制，及时调整项目状态与层级，保持项目库结构合理、储备充足、高质高效。</w:t>
      </w:r>
    </w:p>
    <w:p w14:paraId="51918C5E">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公平公正，择优入库</w:t>
      </w:r>
      <w:r>
        <w:rPr>
          <w:rFonts w:hint="eastAsia" w:ascii="仿宋" w:hAnsi="仿宋" w:eastAsia="仿宋"/>
          <w:color w:val="auto"/>
          <w:sz w:val="32"/>
          <w:szCs w:val="32"/>
        </w:rPr>
        <w:t>。</w:t>
      </w:r>
      <w:r>
        <w:rPr>
          <w:rFonts w:ascii="仿宋" w:hAnsi="仿宋" w:eastAsia="仿宋"/>
          <w:color w:val="auto"/>
          <w:sz w:val="32"/>
          <w:szCs w:val="32"/>
        </w:rPr>
        <w:t>执行统一标准与规范流程，严格开展形式审查与专家评审，以客观公正原则遴选优质项目，确保入库方案可行、目标明确、前景良好，维护项目库建设的公信力。</w:t>
      </w:r>
    </w:p>
    <w:p w14:paraId="4401D6AE">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4</w:t>
      </w:r>
      <w:r>
        <w:rPr>
          <w:rFonts w:hint="eastAsia" w:ascii="仿宋" w:hAnsi="仿宋" w:eastAsia="仿宋"/>
          <w:color w:val="auto"/>
          <w:sz w:val="32"/>
          <w:szCs w:val="32"/>
        </w:rPr>
        <w:t>.</w:t>
      </w:r>
      <w:r>
        <w:rPr>
          <w:rFonts w:ascii="仿宋" w:hAnsi="仿宋" w:eastAsia="仿宋"/>
          <w:color w:val="auto"/>
          <w:sz w:val="32"/>
          <w:szCs w:val="32"/>
        </w:rPr>
        <w:t>校企协同，科教融汇</w:t>
      </w:r>
      <w:r>
        <w:rPr>
          <w:rFonts w:hint="eastAsia" w:ascii="仿宋" w:hAnsi="仿宋" w:eastAsia="仿宋"/>
          <w:color w:val="auto"/>
          <w:sz w:val="32"/>
          <w:szCs w:val="32"/>
        </w:rPr>
        <w:t>。</w:t>
      </w:r>
      <w:r>
        <w:rPr>
          <w:rFonts w:ascii="仿宋" w:hAnsi="仿宋" w:eastAsia="仿宋"/>
          <w:color w:val="auto"/>
          <w:sz w:val="32"/>
          <w:szCs w:val="32"/>
        </w:rPr>
        <w:t>推动企业、高校</w:t>
      </w:r>
      <w:r>
        <w:rPr>
          <w:rFonts w:hint="eastAsia" w:ascii="仿宋" w:hAnsi="仿宋" w:eastAsia="仿宋"/>
          <w:color w:val="auto"/>
          <w:sz w:val="32"/>
          <w:szCs w:val="32"/>
          <w:lang w:val="en-US" w:eastAsia="zh-CN"/>
        </w:rPr>
        <w:t>或</w:t>
      </w:r>
      <w:r>
        <w:rPr>
          <w:rFonts w:ascii="仿宋" w:hAnsi="仿宋" w:eastAsia="仿宋"/>
          <w:color w:val="auto"/>
          <w:sz w:val="32"/>
          <w:szCs w:val="32"/>
        </w:rPr>
        <w:t>科研院所联合组建团队，落实双导师制，同步开展技术攻关与人才培养，实现科教资源深度融合、研发与育人一体推进。</w:t>
      </w:r>
    </w:p>
    <w:p w14:paraId="425B1CFE">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5</w:t>
      </w:r>
      <w:r>
        <w:rPr>
          <w:rFonts w:hint="eastAsia" w:ascii="仿宋" w:hAnsi="仿宋" w:eastAsia="仿宋"/>
          <w:color w:val="auto"/>
          <w:sz w:val="32"/>
          <w:szCs w:val="32"/>
        </w:rPr>
        <w:t>.</w:t>
      </w:r>
      <w:r>
        <w:rPr>
          <w:rFonts w:ascii="仿宋" w:hAnsi="仿宋" w:eastAsia="仿宋"/>
          <w:color w:val="auto"/>
          <w:sz w:val="32"/>
          <w:szCs w:val="32"/>
        </w:rPr>
        <w:t>安全合规，绩效导向</w:t>
      </w:r>
      <w:r>
        <w:rPr>
          <w:rFonts w:hint="eastAsia" w:ascii="仿宋" w:hAnsi="仿宋" w:eastAsia="仿宋"/>
          <w:color w:val="auto"/>
          <w:sz w:val="32"/>
          <w:szCs w:val="32"/>
        </w:rPr>
        <w:t>。</w:t>
      </w:r>
      <w:r>
        <w:rPr>
          <w:rFonts w:ascii="仿宋" w:hAnsi="仿宋" w:eastAsia="仿宋"/>
          <w:color w:val="auto"/>
          <w:sz w:val="32"/>
          <w:szCs w:val="32"/>
        </w:rPr>
        <w:t>严守科技安全、数据安全与伦理规范，强化全流程合规审查与过程监管，以成果转化与实施绩效为核心评价依据，提升项目建设质量与综合效益。</w:t>
      </w:r>
      <w:bookmarkStart w:id="6" w:name="_GoBack"/>
      <w:bookmarkEnd w:id="6"/>
    </w:p>
    <w:p w14:paraId="68738F99">
      <w:pPr>
        <w:overflowPunct w:val="0"/>
        <w:spacing w:after="0" w:line="54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二、项目库总体架构</w:t>
      </w:r>
    </w:p>
    <w:p w14:paraId="30A9BC28">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（一）入库领域</w:t>
      </w:r>
    </w:p>
    <w:p w14:paraId="63D7F881">
      <w:pPr>
        <w:pStyle w:val="6"/>
        <w:shd w:val="clear" w:color="auto" w:fill="FFFFFF"/>
        <w:spacing w:before="0" w:beforeAutospacing="0" w:after="0" w:afterAutospacing="0" w:line="540" w:lineRule="exact"/>
        <w:ind w:firstLine="640" w:firstLineChars="200"/>
        <w:jc w:val="both"/>
        <w:rPr>
          <w:rFonts w:hint="eastAsia" w:ascii="仿宋" w:hAnsi="仿宋" w:eastAsia="仿宋" w:cs="Times New Roman"/>
          <w:color w:val="auto"/>
          <w:kern w:val="2"/>
          <w:sz w:val="32"/>
          <w:szCs w:val="32"/>
        </w:rPr>
      </w:pPr>
      <w:r>
        <w:rPr>
          <w:rFonts w:hint="eastAsia" w:ascii="Times New Roman" w:hAnsi="Times New Roman" w:eastAsia="仿宋" w:cs="Times New Roman"/>
          <w:color w:val="auto"/>
          <w:kern w:val="2"/>
          <w:sz w:val="32"/>
          <w:szCs w:val="32"/>
        </w:rPr>
        <w:t>1</w:t>
      </w:r>
      <w:r>
        <w:rPr>
          <w:rFonts w:hint="eastAsia" w:ascii="仿宋" w:hAnsi="仿宋" w:eastAsia="仿宋" w:cs="Times New Roman"/>
          <w:color w:val="auto"/>
          <w:kern w:val="2"/>
          <w:sz w:val="32"/>
          <w:szCs w:val="32"/>
        </w:rPr>
        <w:t>.</w:t>
      </w:r>
      <w:r>
        <w:rPr>
          <w:rFonts w:ascii="仿宋" w:hAnsi="仿宋" w:eastAsia="仿宋" w:cs="Times New Roman"/>
          <w:color w:val="auto"/>
          <w:kern w:val="2"/>
          <w:sz w:val="32"/>
          <w:szCs w:val="32"/>
        </w:rPr>
        <w:t>稀土及关键金属矿产资源开发利用领域</w:t>
      </w:r>
      <w:r>
        <w:rPr>
          <w:rFonts w:hint="eastAsia" w:ascii="仿宋" w:hAnsi="仿宋" w:eastAsia="仿宋" w:cs="Times New Roman"/>
          <w:color w:val="auto"/>
          <w:kern w:val="2"/>
          <w:sz w:val="32"/>
          <w:szCs w:val="32"/>
        </w:rPr>
        <w:t>。</w:t>
      </w:r>
    </w:p>
    <w:p w14:paraId="6B2C0FF9">
      <w:pPr>
        <w:pStyle w:val="6"/>
        <w:shd w:val="clear" w:color="auto" w:fill="FFFFFF"/>
        <w:spacing w:before="0" w:beforeAutospacing="0" w:after="0" w:afterAutospacing="0" w:line="540" w:lineRule="exact"/>
        <w:ind w:firstLine="640" w:firstLineChars="200"/>
        <w:jc w:val="both"/>
        <w:rPr>
          <w:rFonts w:hint="eastAsia" w:ascii="仿宋" w:hAnsi="仿宋" w:eastAsia="仿宋" w:cs="Times New Roman"/>
          <w:color w:val="auto"/>
          <w:kern w:val="2"/>
          <w:sz w:val="32"/>
          <w:szCs w:val="32"/>
        </w:rPr>
      </w:pPr>
      <w:r>
        <w:rPr>
          <w:rFonts w:hint="eastAsia" w:ascii="仿宋" w:hAnsi="仿宋" w:eastAsia="仿宋" w:cs="Times New Roman"/>
          <w:color w:val="auto"/>
          <w:kern w:val="2"/>
          <w:sz w:val="32"/>
          <w:szCs w:val="32"/>
        </w:rPr>
        <w:t>项目所属产业原则上应归属于以下方向之一：稀土及锡、锑、铟、镓、锗、镍、钴、锂</w:t>
      </w:r>
      <w:r>
        <w:rPr>
          <w:rFonts w:ascii="仿宋" w:hAnsi="仿宋" w:eastAsia="仿宋" w:cs="Times New Roman"/>
          <w:color w:val="auto"/>
          <w:kern w:val="2"/>
          <w:sz w:val="32"/>
          <w:szCs w:val="32"/>
        </w:rPr>
        <w:t>等</w:t>
      </w:r>
      <w:r>
        <w:rPr>
          <w:rFonts w:hint="eastAsia" w:ascii="仿宋" w:hAnsi="仿宋" w:eastAsia="仿宋" w:cs="Times New Roman"/>
          <w:color w:val="auto"/>
          <w:kern w:val="2"/>
          <w:sz w:val="32"/>
          <w:szCs w:val="32"/>
        </w:rPr>
        <w:t>关键金属矿产资源开发利用，包括探矿、采矿、选矿、分离提纯、深加工、新材料、高端应用（如半导体、光通信与电子元器件、新能源汽车、高端装备等领域）、关键金属数字化转型升级及人工智能应用全链条。</w:t>
      </w:r>
    </w:p>
    <w:p w14:paraId="4DE2CDD5">
      <w:pPr>
        <w:pStyle w:val="6"/>
        <w:shd w:val="clear" w:color="auto" w:fill="FFFFFF"/>
        <w:spacing w:before="0" w:beforeAutospacing="0" w:after="0" w:afterAutospacing="0" w:line="540" w:lineRule="exact"/>
        <w:ind w:firstLine="640" w:firstLineChars="200"/>
        <w:jc w:val="both"/>
        <w:rPr>
          <w:rFonts w:hint="eastAsia" w:ascii="仿宋" w:hAnsi="仿宋" w:eastAsia="仿宋" w:cs="Times New Roman"/>
          <w:color w:val="auto"/>
          <w:kern w:val="2"/>
          <w:sz w:val="32"/>
          <w:szCs w:val="32"/>
        </w:rPr>
      </w:pPr>
      <w:r>
        <w:rPr>
          <w:rFonts w:ascii="Times New Roman" w:hAnsi="Times New Roman" w:eastAsia="仿宋" w:cs="Times New Roman"/>
          <w:color w:val="auto"/>
          <w:kern w:val="2"/>
          <w:sz w:val="32"/>
          <w:szCs w:val="32"/>
        </w:rPr>
        <w:t>2</w:t>
      </w:r>
      <w:r>
        <w:rPr>
          <w:rFonts w:hint="eastAsia" w:ascii="仿宋" w:hAnsi="仿宋" w:eastAsia="仿宋" w:cs="Times New Roman"/>
          <w:color w:val="auto"/>
          <w:kern w:val="2"/>
          <w:sz w:val="32"/>
          <w:szCs w:val="32"/>
        </w:rPr>
        <w:t>.</w:t>
      </w:r>
      <w:r>
        <w:rPr>
          <w:rFonts w:ascii="仿宋" w:hAnsi="仿宋" w:eastAsia="仿宋" w:cs="Times New Roman"/>
          <w:color w:val="auto"/>
          <w:kern w:val="2"/>
          <w:sz w:val="32"/>
          <w:szCs w:val="32"/>
        </w:rPr>
        <w:t>人工智能集成技术应用领域</w:t>
      </w:r>
      <w:r>
        <w:rPr>
          <w:rFonts w:hint="eastAsia" w:ascii="仿宋" w:hAnsi="仿宋" w:eastAsia="仿宋" w:cs="Times New Roman"/>
          <w:color w:val="auto"/>
          <w:kern w:val="2"/>
          <w:sz w:val="32"/>
          <w:szCs w:val="32"/>
        </w:rPr>
        <w:t>。</w:t>
      </w:r>
    </w:p>
    <w:p w14:paraId="26578844">
      <w:pPr>
        <w:pStyle w:val="6"/>
        <w:shd w:val="clear" w:color="auto" w:fill="FFFFFF"/>
        <w:spacing w:before="0" w:beforeAutospacing="0" w:after="0" w:afterAutospacing="0" w:line="540" w:lineRule="exact"/>
        <w:ind w:firstLine="640" w:firstLineChars="200"/>
        <w:jc w:val="both"/>
        <w:rPr>
          <w:rFonts w:hint="eastAsia" w:ascii="仿宋" w:hAnsi="仿宋" w:eastAsia="仿宋" w:cs="Times New Roman"/>
          <w:color w:val="auto"/>
          <w:kern w:val="2"/>
          <w:sz w:val="32"/>
          <w:szCs w:val="32"/>
        </w:rPr>
      </w:pPr>
      <w:r>
        <w:rPr>
          <w:rFonts w:hint="eastAsia" w:ascii="仿宋" w:hAnsi="仿宋" w:eastAsia="仿宋" w:cs="Times New Roman"/>
          <w:color w:val="auto"/>
          <w:kern w:val="2"/>
          <w:sz w:val="32"/>
          <w:szCs w:val="32"/>
        </w:rPr>
        <w:t>项目所属产业原则上应归属于新一代信息技术与人工智能领域相关产业，重点聚焦东盟语料库共建共享开放、非通用语言处理技术及标准、</w:t>
      </w:r>
      <w:r>
        <w:rPr>
          <w:rFonts w:ascii="仿宋" w:hAnsi="仿宋" w:eastAsia="仿宋" w:cs="Times New Roman"/>
          <w:color w:val="auto"/>
          <w:kern w:val="2"/>
          <w:sz w:val="32"/>
          <w:szCs w:val="32"/>
        </w:rPr>
        <w:t>AI</w:t>
      </w:r>
      <w:r>
        <w:rPr>
          <w:rFonts w:hint="eastAsia" w:ascii="仿宋" w:hAnsi="仿宋" w:eastAsia="仿宋" w:cs="Times New Roman"/>
          <w:color w:val="auto"/>
          <w:kern w:val="2"/>
          <w:sz w:val="32"/>
          <w:szCs w:val="32"/>
        </w:rPr>
        <w:t>技术研发及垂直领域大模型场景应用、人工智能安全技术研发、教育大模型及智能体、</w:t>
      </w:r>
      <w:bookmarkStart w:id="0" w:name="_Hlk231671936"/>
      <w:r>
        <w:rPr>
          <w:rFonts w:ascii="仿宋" w:hAnsi="仿宋" w:eastAsia="仿宋" w:cs="Times New Roman"/>
          <w:color w:val="auto"/>
          <w:kern w:val="2"/>
          <w:sz w:val="32"/>
          <w:szCs w:val="32"/>
        </w:rPr>
        <w:t>AI+广西优势产业数字化转型</w:t>
      </w:r>
      <w:r>
        <w:rPr>
          <w:rFonts w:hint="eastAsia" w:ascii="仿宋" w:hAnsi="仿宋" w:eastAsia="仿宋" w:cs="Times New Roman"/>
          <w:color w:val="auto"/>
          <w:kern w:val="2"/>
          <w:sz w:val="32"/>
          <w:szCs w:val="32"/>
        </w:rPr>
        <w:t>、</w:t>
      </w:r>
      <w:r>
        <w:rPr>
          <w:rFonts w:ascii="仿宋" w:hAnsi="仿宋" w:eastAsia="仿宋" w:cs="Times New Roman"/>
          <w:color w:val="auto"/>
          <w:kern w:val="2"/>
          <w:sz w:val="32"/>
          <w:szCs w:val="32"/>
        </w:rPr>
        <w:t>AI+面向东盟跨境电商与智能服务</w:t>
      </w:r>
      <w:r>
        <w:rPr>
          <w:rFonts w:hint="eastAsia" w:ascii="仿宋" w:hAnsi="仿宋" w:eastAsia="仿宋" w:cs="Times New Roman"/>
          <w:color w:val="auto"/>
          <w:kern w:val="2"/>
          <w:sz w:val="32"/>
          <w:szCs w:val="32"/>
        </w:rPr>
        <w:t>、</w:t>
      </w:r>
      <w:r>
        <w:rPr>
          <w:rFonts w:ascii="仿宋" w:hAnsi="仿宋" w:eastAsia="仿宋" w:cs="Times New Roman"/>
          <w:color w:val="auto"/>
          <w:kern w:val="2"/>
          <w:sz w:val="32"/>
          <w:szCs w:val="32"/>
        </w:rPr>
        <w:t>数据跨境流动规则与合规机制</w:t>
      </w:r>
      <w:r>
        <w:rPr>
          <w:rFonts w:hint="eastAsia" w:ascii="仿宋" w:hAnsi="仿宋" w:eastAsia="仿宋" w:cs="Times New Roman"/>
          <w:color w:val="auto"/>
          <w:kern w:val="2"/>
          <w:sz w:val="32"/>
          <w:szCs w:val="32"/>
        </w:rPr>
        <w:t>、</w:t>
      </w:r>
      <w:r>
        <w:rPr>
          <w:rFonts w:ascii="仿宋" w:hAnsi="仿宋" w:eastAsia="仿宋" w:cs="Times New Roman"/>
          <w:color w:val="auto"/>
          <w:kern w:val="2"/>
          <w:sz w:val="32"/>
          <w:szCs w:val="32"/>
        </w:rPr>
        <w:t>智能算力基础设施与算力调度</w:t>
      </w:r>
      <w:bookmarkEnd w:id="0"/>
      <w:r>
        <w:rPr>
          <w:rFonts w:hint="eastAsia" w:ascii="仿宋" w:hAnsi="仿宋" w:eastAsia="仿宋" w:cs="Times New Roman"/>
          <w:color w:val="auto"/>
          <w:kern w:val="2"/>
          <w:sz w:val="32"/>
          <w:szCs w:val="32"/>
        </w:rPr>
        <w:t>等领域。</w:t>
      </w:r>
    </w:p>
    <w:p w14:paraId="1E742F30">
      <w:pPr>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区域国别</w:t>
      </w:r>
      <w:r>
        <w:rPr>
          <w:rFonts w:hint="eastAsia" w:ascii="仿宋" w:hAnsi="仿宋" w:eastAsia="仿宋"/>
          <w:color w:val="auto"/>
          <w:sz w:val="32"/>
          <w:szCs w:val="32"/>
        </w:rPr>
        <w:t>和</w:t>
      </w:r>
      <w:r>
        <w:rPr>
          <w:rFonts w:ascii="仿宋" w:hAnsi="仿宋" w:eastAsia="仿宋"/>
          <w:color w:val="auto"/>
          <w:sz w:val="32"/>
          <w:szCs w:val="32"/>
        </w:rPr>
        <w:t>东盟非通用语研究</w:t>
      </w:r>
      <w:r>
        <w:rPr>
          <w:rFonts w:hint="eastAsia" w:ascii="仿宋" w:hAnsi="仿宋" w:eastAsia="仿宋"/>
          <w:color w:val="auto"/>
          <w:sz w:val="32"/>
          <w:szCs w:val="32"/>
        </w:rPr>
        <w:t>应用</w:t>
      </w:r>
      <w:r>
        <w:rPr>
          <w:rFonts w:ascii="仿宋" w:hAnsi="仿宋" w:eastAsia="仿宋"/>
          <w:color w:val="auto"/>
          <w:sz w:val="32"/>
          <w:szCs w:val="32"/>
        </w:rPr>
        <w:t>领域</w:t>
      </w:r>
      <w:r>
        <w:rPr>
          <w:rFonts w:hint="eastAsia" w:ascii="仿宋" w:hAnsi="仿宋" w:eastAsia="仿宋"/>
          <w:color w:val="auto"/>
          <w:sz w:val="32"/>
          <w:szCs w:val="32"/>
        </w:rPr>
        <w:t>。</w:t>
      </w:r>
    </w:p>
    <w:p w14:paraId="27FE69B6">
      <w:pPr>
        <w:spacing w:after="0" w:line="540" w:lineRule="exact"/>
        <w:ind w:firstLine="640" w:firstLineChars="200"/>
        <w:jc w:val="both"/>
        <w:rPr>
          <w:rFonts w:ascii="仿宋" w:hAnsi="仿宋" w:eastAsia="仿宋"/>
          <w:color w:val="auto"/>
          <w:sz w:val="32"/>
          <w:szCs w:val="32"/>
        </w:rPr>
      </w:pPr>
      <w:r>
        <w:rPr>
          <w:rFonts w:hint="eastAsia" w:ascii="仿宋" w:hAnsi="仿宋" w:eastAsia="仿宋"/>
          <w:color w:val="auto"/>
          <w:sz w:val="32"/>
          <w:szCs w:val="32"/>
        </w:rPr>
        <w:t>项目具体方向包括：区域国别与产业合作研究，含面向东盟的重点产业政策、营商环境、产业链供应链协同、企业投资风险识别与应对策略研究；国际关系与社情研究，含东盟组织研究、国别政经文社动态研究、中国—东盟命运共同体建设研究；语言服务与跨文化沟通，含东盟非通用语（越南语、泰语、老挝语、柬埔寨语、缅甸语、马来语、印尼语等）在产业合作中的应用研究、语料库建设、跨文化沟通机制研究；数字化平台与智库服务，</w:t>
      </w:r>
      <w:r>
        <w:rPr>
          <w:rFonts w:hint="eastAsia" w:ascii="仿宋" w:hAnsi="仿宋" w:eastAsia="仿宋"/>
          <w:color w:val="auto"/>
          <w:sz w:val="32"/>
          <w:szCs w:val="32"/>
          <w:lang w:val="en-US" w:eastAsia="zh-CN"/>
        </w:rPr>
        <w:t>包</w:t>
      </w:r>
      <w:r>
        <w:rPr>
          <w:rFonts w:hint="eastAsia" w:ascii="仿宋" w:hAnsi="仿宋" w:eastAsia="仿宋"/>
          <w:color w:val="auto"/>
          <w:sz w:val="32"/>
          <w:szCs w:val="32"/>
        </w:rPr>
        <w:t>含整合东盟政策法规、市场数据、投资案例、法律解读等资源，搭建具备查询与咨询功能的线上智能服务平台；人工智能伦理与安全，含面向东盟的人工智能集成技术应用中的语言处理技术标准、数据安全、文化适应性研究。</w:t>
      </w:r>
    </w:p>
    <w:p w14:paraId="69577D44">
      <w:pPr>
        <w:spacing w:after="0" w:line="54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人工智能板块和区域国别与东盟非通用语研究应用具有一定的交叉协同机制，鼓励以上两个领域围绕技术研发、语料供给、场景应用开展联合申报、协同攻关，以充分凸显广西面向东盟开放合作定位与本土特色产业发展优势。</w:t>
      </w:r>
    </w:p>
    <w:p w14:paraId="29D2378F">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（二）项目类型</w:t>
      </w:r>
    </w:p>
    <w:p w14:paraId="777D9A65">
      <w:pPr>
        <w:adjustRightInd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待研项目</w:t>
      </w:r>
      <w:r>
        <w:rPr>
          <w:rFonts w:hint="eastAsia" w:ascii="仿宋" w:hAnsi="仿宋" w:eastAsia="仿宋"/>
          <w:color w:val="auto"/>
          <w:sz w:val="32"/>
          <w:szCs w:val="32"/>
        </w:rPr>
        <w:t>。指企业已明确技术攻关需求，有意向性合作高校或科研院所，但尚未签订校企研发合同或协议的技术攻关项目。此类项目填报《校企联合人才培养和科研攻关项目征集表</w:t>
      </w:r>
      <w:r>
        <w:rPr>
          <w:rFonts w:hint="eastAsia" w:ascii="仿宋" w:hAnsi="仿宋" w:eastAsia="仿宋"/>
          <w:color w:val="auto"/>
          <w:sz w:val="32"/>
          <w:szCs w:val="32"/>
          <w:lang w:val="en-US" w:eastAsia="zh-CN"/>
        </w:rPr>
        <w:t>(</w:t>
      </w:r>
      <w:r>
        <w:rPr>
          <w:rFonts w:hint="eastAsia" w:ascii="仿宋" w:hAnsi="仿宋" w:eastAsia="仿宋"/>
          <w:color w:val="auto"/>
          <w:sz w:val="32"/>
          <w:szCs w:val="32"/>
        </w:rPr>
        <w:t>待研项目</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p>
    <w:p w14:paraId="72D0C6C1">
      <w:pPr>
        <w:adjustRightInd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lang w:val="en-US" w:eastAsia="zh-CN"/>
        </w:rPr>
        <w:t>2</w:t>
      </w:r>
      <w:r>
        <w:rPr>
          <w:rFonts w:hint="eastAsia" w:ascii="仿宋" w:hAnsi="仿宋" w:eastAsia="仿宋"/>
          <w:color w:val="auto"/>
          <w:sz w:val="32"/>
          <w:szCs w:val="32"/>
        </w:rPr>
        <w:t>.</w:t>
      </w:r>
      <w:r>
        <w:rPr>
          <w:rFonts w:ascii="仿宋" w:hAnsi="仿宋" w:eastAsia="仿宋"/>
          <w:color w:val="auto"/>
          <w:sz w:val="32"/>
          <w:szCs w:val="32"/>
        </w:rPr>
        <w:t>预研项目</w:t>
      </w:r>
      <w:r>
        <w:rPr>
          <w:rFonts w:hint="eastAsia" w:ascii="仿宋" w:hAnsi="仿宋" w:eastAsia="仿宋"/>
          <w:color w:val="auto"/>
          <w:sz w:val="32"/>
          <w:szCs w:val="32"/>
        </w:rPr>
        <w:t>。指企业有较为明确的技术攻关需求，但尚未有意向性合作高校或科研院所的技术攻关项目。此类项目填报《校企联合人才培养和科研攻关项目征集表</w:t>
      </w:r>
      <w:r>
        <w:rPr>
          <w:rFonts w:hint="eastAsia" w:ascii="仿宋" w:hAnsi="仿宋" w:eastAsia="仿宋"/>
          <w:color w:val="auto"/>
          <w:sz w:val="32"/>
          <w:szCs w:val="32"/>
          <w:lang w:val="en-US" w:eastAsia="zh-CN"/>
        </w:rPr>
        <w:t>(</w:t>
      </w:r>
      <w:r>
        <w:rPr>
          <w:rFonts w:hint="eastAsia" w:ascii="仿宋" w:hAnsi="仿宋" w:eastAsia="仿宋"/>
          <w:color w:val="auto"/>
          <w:sz w:val="32"/>
          <w:szCs w:val="32"/>
        </w:rPr>
        <w:t>预研项目</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p>
    <w:p w14:paraId="13E2B2E5">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（三）项目分级</w:t>
      </w:r>
    </w:p>
    <w:p w14:paraId="00DF43F5">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1</w:t>
      </w:r>
      <w:r>
        <w:rPr>
          <w:rFonts w:hint="eastAsia" w:ascii="仿宋" w:hAnsi="仿宋" w:eastAsia="仿宋"/>
          <w:color w:val="auto"/>
          <w:sz w:val="32"/>
          <w:szCs w:val="32"/>
        </w:rPr>
        <w:t>.</w:t>
      </w:r>
      <w:r>
        <w:rPr>
          <w:rFonts w:ascii="Times New Roman" w:hAnsi="Times New Roman" w:eastAsia="仿宋"/>
          <w:color w:val="auto"/>
          <w:sz w:val="32"/>
          <w:szCs w:val="32"/>
        </w:rPr>
        <w:t>A</w:t>
      </w:r>
      <w:r>
        <w:rPr>
          <w:rFonts w:ascii="仿宋" w:hAnsi="仿宋" w:eastAsia="仿宋"/>
          <w:color w:val="auto"/>
          <w:sz w:val="32"/>
          <w:szCs w:val="32"/>
        </w:rPr>
        <w:t>类（重点培育）：产业重大瓶颈、“卡脖子”技术、支撑千亿级产业集群、可快速产业化、人才培养承载能力强。</w:t>
      </w:r>
    </w:p>
    <w:p w14:paraId="69979842">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2</w:t>
      </w:r>
      <w:r>
        <w:rPr>
          <w:rFonts w:hint="eastAsia" w:ascii="仿宋" w:hAnsi="仿宋" w:eastAsia="仿宋"/>
          <w:color w:val="auto"/>
          <w:sz w:val="32"/>
          <w:szCs w:val="32"/>
        </w:rPr>
        <w:t>.</w:t>
      </w:r>
      <w:r>
        <w:rPr>
          <w:rFonts w:ascii="Times New Roman" w:hAnsi="Times New Roman" w:eastAsia="仿宋"/>
          <w:color w:val="auto"/>
          <w:sz w:val="32"/>
          <w:szCs w:val="32"/>
        </w:rPr>
        <w:t>B</w:t>
      </w:r>
      <w:r>
        <w:rPr>
          <w:rFonts w:ascii="仿宋" w:hAnsi="仿宋" w:eastAsia="仿宋"/>
          <w:color w:val="auto"/>
          <w:sz w:val="32"/>
          <w:szCs w:val="32"/>
        </w:rPr>
        <w:t>类（一般支持）：产业共性技术、工艺改进、产品升级、成果转化前景较好。</w:t>
      </w:r>
    </w:p>
    <w:p w14:paraId="1482AC8D">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w:t>
      </w:r>
      <w:r>
        <w:rPr>
          <w:rFonts w:ascii="Times New Roman" w:hAnsi="Times New Roman" w:eastAsia="仿宋"/>
          <w:color w:val="auto"/>
          <w:sz w:val="32"/>
          <w:szCs w:val="32"/>
        </w:rPr>
        <w:t>C</w:t>
      </w:r>
      <w:r>
        <w:rPr>
          <w:rFonts w:ascii="仿宋" w:hAnsi="仿宋" w:eastAsia="仿宋"/>
          <w:color w:val="auto"/>
          <w:sz w:val="32"/>
          <w:szCs w:val="32"/>
        </w:rPr>
        <w:t>类（储备跟踪）：前沿探索、概念验证、需求初步明确，待条件成熟后升级培育。</w:t>
      </w:r>
    </w:p>
    <w:p w14:paraId="6A21E2CC">
      <w:pPr>
        <w:overflowPunct w:val="0"/>
        <w:spacing w:after="0" w:line="54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三、入库标准</w:t>
      </w:r>
    </w:p>
    <w:p w14:paraId="22460815">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（一）申报主体条件</w:t>
      </w:r>
    </w:p>
    <w:p w14:paraId="5FB686CF">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企业</w:t>
      </w:r>
      <w:r>
        <w:rPr>
          <w:rFonts w:hint="eastAsia" w:ascii="仿宋" w:hAnsi="仿宋" w:eastAsia="仿宋"/>
          <w:color w:val="auto"/>
          <w:sz w:val="32"/>
          <w:szCs w:val="32"/>
        </w:rPr>
        <w:t>。在桂注册的涉及</w:t>
      </w:r>
      <w:r>
        <w:rPr>
          <w:rFonts w:ascii="仿宋" w:hAnsi="仿宋" w:eastAsia="仿宋"/>
          <w:color w:val="auto"/>
          <w:sz w:val="32"/>
          <w:szCs w:val="32"/>
        </w:rPr>
        <w:t>稀土及</w:t>
      </w:r>
      <w:r>
        <w:rPr>
          <w:rFonts w:hint="eastAsia" w:ascii="仿宋" w:hAnsi="仿宋" w:eastAsia="仿宋"/>
          <w:color w:val="auto"/>
          <w:sz w:val="32"/>
          <w:szCs w:val="32"/>
        </w:rPr>
        <w:t>锡、锑、铟、镓、锗、镍、钴、锂</w:t>
      </w:r>
      <w:r>
        <w:rPr>
          <w:rFonts w:ascii="仿宋" w:hAnsi="仿宋" w:eastAsia="仿宋"/>
          <w:color w:val="auto"/>
          <w:sz w:val="32"/>
          <w:szCs w:val="32"/>
        </w:rPr>
        <w:t>等</w:t>
      </w:r>
      <w:r>
        <w:rPr>
          <w:rFonts w:hint="eastAsia" w:ascii="仿宋" w:hAnsi="仿宋" w:eastAsia="仿宋"/>
          <w:color w:val="auto"/>
          <w:sz w:val="32"/>
          <w:szCs w:val="32"/>
        </w:rPr>
        <w:t>关键金属矿产资源开发利用领域的企业，以及涉及新一代信息技术与人工智能领域相关产业，重点聚焦东盟语料库共建共享开放、非通用语言处理技术及标准、</w:t>
      </w:r>
      <w:r>
        <w:rPr>
          <w:rFonts w:ascii="仿宋" w:hAnsi="仿宋" w:eastAsia="仿宋" w:cs="Times New Roman"/>
          <w:color w:val="auto"/>
          <w:kern w:val="2"/>
          <w:sz w:val="32"/>
          <w:szCs w:val="32"/>
        </w:rPr>
        <w:t>AI</w:t>
      </w:r>
      <w:r>
        <w:rPr>
          <w:rFonts w:hint="eastAsia" w:ascii="仿宋" w:hAnsi="仿宋" w:eastAsia="仿宋"/>
          <w:color w:val="auto"/>
          <w:sz w:val="32"/>
          <w:szCs w:val="32"/>
        </w:rPr>
        <w:t>技术研发及垂直领域大模型场景应用、人工智能安全技术研发、教育大模型及智能体等产业领域相关的企业。企业应重视技术研发和人才培养工作，具有高水平的研究队伍和科研平台，有一定规模的研发经费投入，能提供研究生科研实践和学习生活的必要条件保障，有良好的社会信用。对广西高研院内涵和意义有准确、深刻理解，有积极主动的参与意愿，具有产教融合、校企合作的相关基础。</w:t>
      </w:r>
    </w:p>
    <w:p w14:paraId="539FF84C">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高校</w:t>
      </w:r>
      <w:r>
        <w:rPr>
          <w:rFonts w:hint="eastAsia" w:ascii="仿宋" w:hAnsi="仿宋" w:eastAsia="仿宋"/>
          <w:color w:val="auto"/>
          <w:sz w:val="32"/>
          <w:szCs w:val="32"/>
        </w:rPr>
        <w:t>、科</w:t>
      </w:r>
      <w:r>
        <w:rPr>
          <w:rFonts w:ascii="仿宋" w:hAnsi="仿宋" w:eastAsia="仿宋"/>
          <w:color w:val="auto"/>
          <w:sz w:val="32"/>
          <w:szCs w:val="32"/>
        </w:rPr>
        <w:t>研院所</w:t>
      </w:r>
      <w:r>
        <w:rPr>
          <w:rFonts w:hint="eastAsia" w:ascii="仿宋" w:hAnsi="仿宋" w:eastAsia="仿宋"/>
          <w:color w:val="auto"/>
          <w:sz w:val="32"/>
          <w:szCs w:val="32"/>
        </w:rPr>
        <w:t>。原则上应具备相应研究生学位授予资格，在广西高研院聚焦的领域具有相应的优势学科、高水平科研平台、导师团队，能够有效开展人才培养、科学研究和社会服务。鼓励区内高校、科研院所联合区外高水平大学及科研院所开展联合攻关。</w:t>
      </w:r>
    </w:p>
    <w:p w14:paraId="71957C28">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导师团队</w:t>
      </w:r>
      <w:r>
        <w:rPr>
          <w:rFonts w:hint="eastAsia" w:ascii="仿宋" w:hAnsi="仿宋" w:eastAsia="仿宋"/>
          <w:color w:val="auto"/>
          <w:sz w:val="32"/>
          <w:szCs w:val="32"/>
        </w:rPr>
        <w:t>。待研项目由企业、高校</w:t>
      </w:r>
      <w:r>
        <w:rPr>
          <w:rFonts w:hint="eastAsia" w:ascii="仿宋" w:hAnsi="仿宋" w:eastAsia="仿宋"/>
          <w:color w:val="auto"/>
          <w:sz w:val="32"/>
          <w:szCs w:val="32"/>
          <w:lang w:val="en-US" w:eastAsia="zh-CN"/>
        </w:rPr>
        <w:t>或</w:t>
      </w:r>
      <w:r>
        <w:rPr>
          <w:rFonts w:hint="eastAsia" w:ascii="仿宋" w:hAnsi="仿宋" w:eastAsia="仿宋"/>
          <w:color w:val="auto"/>
          <w:sz w:val="32"/>
          <w:szCs w:val="32"/>
        </w:rPr>
        <w:t>科研院所共同组建导师团队，</w:t>
      </w:r>
      <w:r>
        <w:rPr>
          <w:rFonts w:ascii="仿宋" w:hAnsi="仿宋" w:eastAsia="仿宋"/>
          <w:color w:val="auto"/>
          <w:sz w:val="32"/>
          <w:szCs w:val="32"/>
        </w:rPr>
        <w:t>实行双导师制</w:t>
      </w:r>
      <w:r>
        <w:rPr>
          <w:rFonts w:hint="eastAsia" w:ascii="仿宋" w:hAnsi="仿宋" w:eastAsia="仿宋"/>
          <w:color w:val="auto"/>
          <w:sz w:val="32"/>
          <w:szCs w:val="32"/>
        </w:rPr>
        <w:t>。高校或科研院</w:t>
      </w:r>
      <w:r>
        <w:rPr>
          <w:rFonts w:hint="eastAsia" w:ascii="仿宋" w:hAnsi="仿宋" w:eastAsia="仿宋"/>
          <w:color w:val="auto"/>
          <w:sz w:val="32"/>
          <w:szCs w:val="32"/>
          <w:lang w:val="en-US" w:eastAsia="zh-CN"/>
        </w:rPr>
        <w:t>所</w:t>
      </w:r>
      <w:r>
        <w:rPr>
          <w:rFonts w:hint="eastAsia" w:ascii="仿宋" w:hAnsi="仿宋" w:eastAsia="仿宋"/>
          <w:color w:val="auto"/>
          <w:sz w:val="32"/>
          <w:szCs w:val="32"/>
        </w:rPr>
        <w:t>导师应具备研究生招生资格，具有产学研合作的能力和经验，无学术不端记录和师德师风问题。企业导师原则上应具有高级职称，能够指导研究生开展科研实践活动。暂不具备研究生招生资格的区内高校导师，可作为项目团队导师共同申报。</w:t>
      </w:r>
    </w:p>
    <w:p w14:paraId="5A423358">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（二）申报基本条件</w:t>
      </w:r>
    </w:p>
    <w:p w14:paraId="28EC2ADF">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项目须紧密贴合广西高研院主攻领域，深度服务国家战略与广西重点产业发展需求，坚持产学研用深度融合，以企业真实技术需求为导向，推动科教融汇与产教融合。</w:t>
      </w:r>
    </w:p>
    <w:p w14:paraId="257FFDEE">
      <w:pPr>
        <w:overflowPunct w:val="0"/>
        <w:spacing w:after="0" w:line="540" w:lineRule="exact"/>
        <w:ind w:firstLine="640" w:firstLineChars="200"/>
        <w:jc w:val="both"/>
        <w:rPr>
          <w:rFonts w:hint="eastAsia" w:ascii="仿宋" w:hAnsi="仿宋" w:eastAsia="仿宋"/>
          <w:color w:val="auto"/>
          <w:sz w:val="32"/>
          <w:szCs w:val="32"/>
          <w:lang w:eastAsia="zh-CN"/>
        </w:rPr>
      </w:pPr>
      <w:r>
        <w:rPr>
          <w:rFonts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项目</w:t>
      </w:r>
      <w:r>
        <w:rPr>
          <w:rFonts w:hint="eastAsia" w:ascii="仿宋" w:hAnsi="仿宋" w:eastAsia="仿宋"/>
          <w:color w:val="auto"/>
          <w:sz w:val="32"/>
          <w:szCs w:val="32"/>
          <w:lang w:val="en-US" w:eastAsia="zh-CN"/>
        </w:rPr>
        <w:t>须</w:t>
      </w:r>
      <w:r>
        <w:rPr>
          <w:rFonts w:ascii="仿宋" w:hAnsi="仿宋" w:eastAsia="仿宋"/>
          <w:color w:val="auto"/>
          <w:sz w:val="32"/>
          <w:szCs w:val="32"/>
        </w:rPr>
        <w:t>具备清晰具体的研究内容、科学可行的技术路线、量化可考核的预期指标、合理规范的实施周期、稳定足额的经费保障以及完整完善的人才培养方案，确保研发与育人同步推进</w:t>
      </w:r>
      <w:r>
        <w:rPr>
          <w:rFonts w:hint="eastAsia" w:ascii="仿宋" w:hAnsi="仿宋" w:eastAsia="仿宋"/>
          <w:color w:val="auto"/>
          <w:sz w:val="32"/>
          <w:szCs w:val="32"/>
          <w:lang w:eastAsia="zh-CN"/>
        </w:rPr>
        <w:t>。</w:t>
      </w:r>
    </w:p>
    <w:p w14:paraId="2E7F3BBB">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依托项目落实</w:t>
      </w:r>
      <w:r>
        <w:rPr>
          <w:rFonts w:hint="eastAsia" w:ascii="仿宋" w:hAnsi="仿宋" w:eastAsia="仿宋"/>
          <w:color w:val="auto"/>
          <w:sz w:val="32"/>
          <w:szCs w:val="32"/>
          <w:lang w:val="en-US" w:eastAsia="zh-CN"/>
        </w:rPr>
        <w:t>研究生</w:t>
      </w:r>
      <w:r>
        <w:rPr>
          <w:rFonts w:ascii="仿宋" w:hAnsi="仿宋" w:eastAsia="仿宋"/>
          <w:color w:val="auto"/>
          <w:sz w:val="32"/>
          <w:szCs w:val="32"/>
        </w:rPr>
        <w:t>双导师培养、安全生产保障、实验伦理审查、知识产权归属与收益分配等各项约定。</w:t>
      </w:r>
    </w:p>
    <w:p w14:paraId="23A6BFDF">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4</w:t>
      </w:r>
      <w:r>
        <w:rPr>
          <w:rFonts w:hint="eastAsia" w:ascii="仿宋" w:hAnsi="仿宋" w:eastAsia="仿宋"/>
          <w:color w:val="auto"/>
          <w:sz w:val="32"/>
          <w:szCs w:val="32"/>
        </w:rPr>
        <w:t>.</w:t>
      </w:r>
      <w:r>
        <w:rPr>
          <w:rFonts w:ascii="仿宋" w:hAnsi="仿宋" w:eastAsia="仿宋"/>
          <w:color w:val="auto"/>
          <w:sz w:val="32"/>
          <w:szCs w:val="32"/>
        </w:rPr>
        <w:t>申报项目不得重复申报，项目承担单位及负责人无违规在研项目、无重大失信与</w:t>
      </w:r>
      <w:r>
        <w:rPr>
          <w:rFonts w:hint="default" w:ascii="仿宋" w:hAnsi="仿宋" w:eastAsia="仿宋" w:cs="Times New Roman"/>
          <w:color w:val="auto"/>
          <w:sz w:val="32"/>
          <w:szCs w:val="32"/>
          <w:lang w:val="en-US" w:eastAsia="zh-CN"/>
        </w:rPr>
        <w:t>学术</w:t>
      </w:r>
      <w:r>
        <w:rPr>
          <w:rFonts w:ascii="仿宋" w:hAnsi="仿宋" w:eastAsia="仿宋"/>
          <w:color w:val="auto"/>
          <w:sz w:val="32"/>
          <w:szCs w:val="32"/>
        </w:rPr>
        <w:t>不端行为；涉及科技安全、数据安全、涉外研究等内容，须按规定完成合规审查并提供相关证明材料，确保项目全程合法合规。</w:t>
      </w:r>
    </w:p>
    <w:p w14:paraId="425CC9BB">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（三）不予入库情形</w:t>
      </w:r>
    </w:p>
    <w:p w14:paraId="6CB93951">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项目与广西高研院主攻产业方向不符，属于纯理论研究无实际应用场景，或存在重复申报、已获得同类项目立项支持的</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例如已获得政府财政经费支持的纵向课题项目</w:t>
      </w:r>
      <w:r>
        <w:rPr>
          <w:rFonts w:ascii="仿宋" w:hAnsi="仿宋" w:eastAsia="仿宋"/>
          <w:color w:val="auto"/>
          <w:sz w:val="32"/>
          <w:szCs w:val="32"/>
        </w:rPr>
        <w:t>，不予入库。</w:t>
      </w:r>
    </w:p>
    <w:p w14:paraId="0B2EC045">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申报单位或项目负责人存在重大失信、</w:t>
      </w:r>
      <w:r>
        <w:rPr>
          <w:rFonts w:hint="eastAsia" w:ascii="仿宋" w:hAnsi="仿宋" w:eastAsia="仿宋"/>
          <w:color w:val="auto"/>
          <w:sz w:val="32"/>
          <w:szCs w:val="32"/>
          <w:lang w:eastAsia="zh-CN"/>
        </w:rPr>
        <w:t>学术</w:t>
      </w:r>
      <w:r>
        <w:rPr>
          <w:rFonts w:ascii="仿宋" w:hAnsi="仿宋" w:eastAsia="仿宋"/>
          <w:color w:val="auto"/>
          <w:sz w:val="32"/>
          <w:szCs w:val="32"/>
        </w:rPr>
        <w:t>不端行为；项目经费无稳定保障、研发与导师团队不满足要求；研究内容虚假、存在伦理违规、科技安全或数据安全风险的</w:t>
      </w:r>
      <w:r>
        <w:rPr>
          <w:rFonts w:hint="eastAsia" w:ascii="仿宋" w:hAnsi="仿宋" w:eastAsia="仿宋"/>
          <w:color w:val="auto"/>
          <w:sz w:val="32"/>
          <w:szCs w:val="32"/>
        </w:rPr>
        <w:t>；无法提供研究生科研实践和学习生活的必要条件保障等情形的，</w:t>
      </w:r>
      <w:r>
        <w:rPr>
          <w:rFonts w:ascii="仿宋" w:hAnsi="仿宋" w:eastAsia="仿宋"/>
          <w:color w:val="auto"/>
          <w:sz w:val="32"/>
          <w:szCs w:val="32"/>
        </w:rPr>
        <w:t>不予入库。</w:t>
      </w:r>
    </w:p>
    <w:p w14:paraId="4D422CBE">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校企合同、到账经费、实施周期等关键材料与要件缺失、不规范，未达到形式审核标准的，不予入库。</w:t>
      </w:r>
    </w:p>
    <w:p w14:paraId="2F0764CB">
      <w:pPr>
        <w:overflowPunct w:val="0"/>
        <w:spacing w:after="0" w:line="540" w:lineRule="exact"/>
        <w:ind w:firstLine="640" w:firstLineChars="200"/>
        <w:jc w:val="both"/>
        <w:rPr>
          <w:rFonts w:hint="eastAsia" w:ascii="黑体" w:hAnsi="黑体" w:eastAsia="黑体" w:cs="黑体"/>
          <w:color w:val="auto"/>
          <w:sz w:val="32"/>
          <w:szCs w:val="32"/>
        </w:rPr>
      </w:pPr>
      <w:bookmarkStart w:id="1" w:name="OLE_LINK3"/>
      <w:r>
        <w:rPr>
          <w:rFonts w:hint="eastAsia" w:ascii="黑体" w:hAnsi="黑体" w:eastAsia="黑体" w:cs="黑体"/>
          <w:color w:val="auto"/>
          <w:sz w:val="32"/>
          <w:szCs w:val="32"/>
        </w:rPr>
        <w:t>四、项目库建设与管理流程</w:t>
      </w:r>
    </w:p>
    <w:bookmarkEnd w:id="1"/>
    <w:p w14:paraId="05586164">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（一）征集发布</w:t>
      </w:r>
    </w:p>
    <w:p w14:paraId="3D5A4BE6">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采用</w:t>
      </w:r>
      <w:r>
        <w:rPr>
          <w:rFonts w:hint="eastAsia" w:ascii="仿宋" w:hAnsi="仿宋" w:eastAsia="仿宋"/>
          <w:color w:val="auto"/>
          <w:sz w:val="32"/>
          <w:szCs w:val="32"/>
          <w:lang w:eastAsia="zh-CN"/>
        </w:rPr>
        <w:t>“</w:t>
      </w:r>
      <w:r>
        <w:rPr>
          <w:rFonts w:ascii="仿宋" w:hAnsi="仿宋" w:eastAsia="仿宋"/>
          <w:color w:val="auto"/>
          <w:sz w:val="32"/>
          <w:szCs w:val="32"/>
        </w:rPr>
        <w:t>常态化征集+年度集中征集</w:t>
      </w:r>
      <w:r>
        <w:rPr>
          <w:rFonts w:hint="eastAsia" w:ascii="仿宋" w:hAnsi="仿宋" w:eastAsia="仿宋"/>
          <w:color w:val="auto"/>
          <w:sz w:val="32"/>
          <w:szCs w:val="32"/>
          <w:lang w:eastAsia="zh-CN"/>
        </w:rPr>
        <w:t>”</w:t>
      </w:r>
      <w:r>
        <w:rPr>
          <w:rFonts w:ascii="仿宋" w:hAnsi="仿宋" w:eastAsia="仿宋"/>
          <w:color w:val="auto"/>
          <w:sz w:val="32"/>
          <w:szCs w:val="32"/>
        </w:rPr>
        <w:t>相结合模式，</w:t>
      </w:r>
      <w:r>
        <w:rPr>
          <w:rFonts w:hint="eastAsia" w:ascii="仿宋" w:hAnsi="仿宋" w:eastAsia="仿宋"/>
          <w:color w:val="auto"/>
          <w:sz w:val="32"/>
          <w:szCs w:val="32"/>
        </w:rPr>
        <w:t>于每年二季度</w:t>
      </w:r>
      <w:r>
        <w:rPr>
          <w:rFonts w:hint="eastAsia" w:ascii="仿宋" w:hAnsi="仿宋" w:eastAsia="仿宋"/>
          <w:color w:val="auto"/>
          <w:sz w:val="32"/>
          <w:szCs w:val="32"/>
          <w:lang w:val="en-US" w:eastAsia="zh-CN"/>
        </w:rPr>
        <w:t>由</w:t>
      </w:r>
      <w:r>
        <w:rPr>
          <w:rFonts w:ascii="仿宋" w:hAnsi="仿宋" w:eastAsia="仿宋"/>
          <w:color w:val="auto"/>
          <w:sz w:val="32"/>
          <w:szCs w:val="32"/>
        </w:rPr>
        <w:t>自治区教育厅</w:t>
      </w:r>
      <w:r>
        <w:rPr>
          <w:rFonts w:hint="eastAsia" w:ascii="仿宋" w:hAnsi="仿宋" w:eastAsia="仿宋"/>
          <w:color w:val="auto"/>
          <w:sz w:val="32"/>
          <w:szCs w:val="32"/>
        </w:rPr>
        <w:t>联合自治区</w:t>
      </w:r>
      <w:r>
        <w:rPr>
          <w:rFonts w:hint="eastAsia" w:ascii="仿宋" w:hAnsi="仿宋" w:eastAsia="仿宋"/>
          <w:color w:val="auto"/>
          <w:sz w:val="32"/>
          <w:szCs w:val="32"/>
          <w:lang w:val="en-US" w:eastAsia="zh-CN"/>
        </w:rPr>
        <w:t>各有关部门</w:t>
      </w:r>
      <w:r>
        <w:rPr>
          <w:rFonts w:hint="eastAsia" w:ascii="仿宋" w:hAnsi="仿宋" w:eastAsia="仿宋"/>
          <w:color w:val="auto"/>
          <w:sz w:val="32"/>
          <w:szCs w:val="32"/>
        </w:rPr>
        <w:t>发文集中征集，日常通过各相关厅局</w:t>
      </w:r>
      <w:r>
        <w:rPr>
          <w:rFonts w:ascii="仿宋" w:hAnsi="仿宋" w:eastAsia="仿宋"/>
          <w:color w:val="auto"/>
          <w:sz w:val="32"/>
          <w:szCs w:val="32"/>
        </w:rPr>
        <w:t>官网、广西高研院官方平台发布项目征集指南与申报要求</w:t>
      </w:r>
      <w:r>
        <w:rPr>
          <w:rFonts w:hint="eastAsia" w:ascii="仿宋" w:hAnsi="仿宋" w:eastAsia="仿宋"/>
          <w:color w:val="auto"/>
          <w:sz w:val="32"/>
          <w:szCs w:val="32"/>
        </w:rPr>
        <w:t>，开展日常征集</w:t>
      </w:r>
      <w:r>
        <w:rPr>
          <w:rFonts w:ascii="仿宋" w:hAnsi="仿宋" w:eastAsia="仿宋"/>
          <w:color w:val="auto"/>
          <w:sz w:val="32"/>
          <w:szCs w:val="32"/>
        </w:rPr>
        <w:t>。</w:t>
      </w:r>
    </w:p>
    <w:p w14:paraId="5A78B6D0">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（二）申报提交</w:t>
      </w:r>
    </w:p>
    <w:p w14:paraId="56336372">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申报单位在广西高研院</w:t>
      </w:r>
      <w:r>
        <w:rPr>
          <w:rFonts w:hint="eastAsia" w:ascii="仿宋" w:hAnsi="仿宋" w:eastAsia="仿宋" w:cs="仿宋"/>
          <w:kern w:val="0"/>
          <w:sz w:val="32"/>
          <w:szCs w:val="32"/>
          <w:lang w:val="en-US" w:eastAsia="zh-CN" w:bidi="ar"/>
        </w:rPr>
        <w:t>校企联合人才培养和科研攻关储备项目库申报系统</w:t>
      </w:r>
      <w:r>
        <w:rPr>
          <w:rFonts w:ascii="仿宋" w:hAnsi="仿宋" w:eastAsia="仿宋"/>
          <w:color w:val="auto"/>
          <w:sz w:val="32"/>
          <w:szCs w:val="32"/>
        </w:rPr>
        <w:t>完成注册，线上填报信息并上传</w:t>
      </w:r>
      <w:r>
        <w:rPr>
          <w:rFonts w:hint="eastAsia" w:ascii="仿宋" w:hAnsi="仿宋" w:eastAsia="仿宋"/>
          <w:color w:val="auto"/>
          <w:sz w:val="32"/>
          <w:szCs w:val="32"/>
          <w:lang w:val="en-US" w:eastAsia="zh-CN"/>
        </w:rPr>
        <w:t>有关</w:t>
      </w:r>
      <w:r>
        <w:rPr>
          <w:rFonts w:ascii="仿宋" w:hAnsi="仿宋" w:eastAsia="仿宋"/>
          <w:color w:val="auto"/>
          <w:sz w:val="32"/>
          <w:szCs w:val="32"/>
        </w:rPr>
        <w:t>资质佐证材料，经主管部门初审通过后推荐上报。</w:t>
      </w:r>
    </w:p>
    <w:p w14:paraId="3C78D1E2">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（三）审核入库</w:t>
      </w:r>
    </w:p>
    <w:p w14:paraId="08C34535">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形式审查：核验申报主体资质、实施周期、材料完整性等硬性要求，不符合标准直接退回，不予进入下一环节。</w:t>
      </w:r>
    </w:p>
    <w:p w14:paraId="44F22D8C">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专家评审：实行双盲评审，重点评估项目设计合理性、成果先进性、人才培养能力及企业保障条件，评分低于</w:t>
      </w:r>
      <w:r>
        <w:rPr>
          <w:rFonts w:ascii="Times New Roman" w:hAnsi="Times New Roman" w:eastAsia="仿宋"/>
          <w:color w:val="auto"/>
          <w:sz w:val="32"/>
          <w:szCs w:val="32"/>
        </w:rPr>
        <w:t>70</w:t>
      </w:r>
      <w:r>
        <w:rPr>
          <w:rFonts w:ascii="仿宋" w:hAnsi="仿宋" w:eastAsia="仿宋"/>
          <w:color w:val="auto"/>
          <w:sz w:val="32"/>
          <w:szCs w:val="32"/>
        </w:rPr>
        <w:t xml:space="preserve">分不予入库。 </w:t>
      </w:r>
    </w:p>
    <w:p w14:paraId="4436F47A">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公示入库：拟入库项目公示无异议后正式纳入项目库，按领域、类型、等级、培育周期分类标注，实行清单化管理。</w:t>
      </w:r>
    </w:p>
    <w:p w14:paraId="321E03F0">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（四）动态管理</w:t>
      </w:r>
    </w:p>
    <w:p w14:paraId="1C2432D3">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每年开展集中复核与动态调整，项目已完成、主动终止、逾期未推进的即时出库；</w:t>
      </w:r>
      <w:r>
        <w:rPr>
          <w:rFonts w:hint="eastAsia" w:ascii="仿宋" w:hAnsi="仿宋" w:eastAsia="仿宋"/>
          <w:color w:val="auto"/>
          <w:sz w:val="32"/>
          <w:szCs w:val="32"/>
          <w:lang w:val="en-US" w:eastAsia="zh-CN"/>
        </w:rPr>
        <w:t>入库</w:t>
      </w:r>
      <w:r>
        <w:rPr>
          <w:rFonts w:ascii="仿宋" w:hAnsi="仿宋" w:eastAsia="仿宋"/>
          <w:color w:val="auto"/>
          <w:sz w:val="32"/>
          <w:szCs w:val="32"/>
        </w:rPr>
        <w:t>项目由</w:t>
      </w:r>
      <w:r>
        <w:rPr>
          <w:rFonts w:hint="eastAsia" w:ascii="仿宋" w:hAnsi="仿宋" w:eastAsia="仿宋"/>
          <w:color w:val="auto"/>
          <w:sz w:val="32"/>
          <w:szCs w:val="32"/>
        </w:rPr>
        <w:t>广西</w:t>
      </w:r>
      <w:r>
        <w:rPr>
          <w:rFonts w:ascii="仿宋" w:hAnsi="仿宋" w:eastAsia="仿宋"/>
          <w:color w:val="auto"/>
          <w:sz w:val="32"/>
          <w:szCs w:val="32"/>
        </w:rPr>
        <w:t>高研院统筹搭建对接平台，促进校企合作落地。</w:t>
      </w:r>
    </w:p>
    <w:p w14:paraId="48D2A564">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（五）立项与支持</w:t>
      </w:r>
    </w:p>
    <w:p w14:paraId="196DF265">
      <w:pPr>
        <w:overflowPunct w:val="0"/>
        <w:spacing w:after="0" w:line="540" w:lineRule="exact"/>
        <w:ind w:firstLine="640" w:firstLineChars="200"/>
        <w:jc w:val="both"/>
        <w:rPr>
          <w:rFonts w:ascii="仿宋" w:hAnsi="仿宋" w:eastAsia="仿宋"/>
          <w:color w:val="auto"/>
          <w:sz w:val="32"/>
          <w:szCs w:val="32"/>
        </w:rPr>
      </w:pPr>
      <w:r>
        <w:rPr>
          <w:rFonts w:ascii="仿宋" w:hAnsi="仿宋" w:eastAsia="仿宋"/>
          <w:color w:val="auto"/>
          <w:sz w:val="32"/>
          <w:szCs w:val="32"/>
        </w:rPr>
        <w:t>年度立项从项目库择优遴选推荐，报教育部审定。立项项目可享受单列研究生招生计划、研究生入企实践补助</w:t>
      </w:r>
      <w:r>
        <w:rPr>
          <w:rFonts w:hint="eastAsia" w:ascii="仿宋" w:hAnsi="仿宋" w:eastAsia="仿宋"/>
          <w:color w:val="auto"/>
          <w:sz w:val="32"/>
          <w:szCs w:val="32"/>
          <w:lang w:eastAsia="zh-CN"/>
        </w:rPr>
        <w:t>。</w:t>
      </w:r>
      <w:r>
        <w:rPr>
          <w:rFonts w:hint="eastAsia" w:ascii="仿宋" w:hAnsi="仿宋" w:eastAsia="仿宋" w:cs="仿宋"/>
          <w:b w:val="0"/>
          <w:bCs w:val="0"/>
          <w:i w:val="0"/>
          <w:iCs w:val="0"/>
          <w:color w:val="auto"/>
          <w:sz w:val="32"/>
          <w:szCs w:val="32"/>
          <w:highlight w:val="none"/>
          <w:u w:val="none"/>
          <w:lang w:eastAsia="zh-CN"/>
        </w:rPr>
        <w:t>参与企业</w:t>
      </w:r>
      <w:r>
        <w:rPr>
          <w:rFonts w:hint="eastAsia" w:ascii="仿宋" w:hAnsi="仿宋" w:eastAsia="仿宋" w:cs="仿宋"/>
          <w:b w:val="0"/>
          <w:bCs w:val="0"/>
          <w:i w:val="0"/>
          <w:iCs w:val="0"/>
          <w:color w:val="auto"/>
          <w:sz w:val="32"/>
          <w:szCs w:val="32"/>
          <w:highlight w:val="none"/>
          <w:u w:val="none"/>
          <w:lang w:val="en-US" w:eastAsia="zh-CN"/>
        </w:rPr>
        <w:t>可</w:t>
      </w:r>
      <w:r>
        <w:rPr>
          <w:rFonts w:hint="eastAsia" w:ascii="仿宋" w:hAnsi="仿宋" w:eastAsia="仿宋" w:cs="仿宋"/>
          <w:b w:val="0"/>
          <w:bCs w:val="0"/>
          <w:i w:val="0"/>
          <w:iCs w:val="0"/>
          <w:color w:val="auto"/>
          <w:sz w:val="32"/>
          <w:szCs w:val="32"/>
          <w:highlight w:val="none"/>
          <w:u w:val="none"/>
        </w:rPr>
        <w:t>在项目完成后三年内，申请并</w:t>
      </w:r>
      <w:r>
        <w:rPr>
          <w:rFonts w:hint="eastAsia" w:ascii="仿宋" w:hAnsi="仿宋" w:eastAsia="仿宋" w:cs="仿宋"/>
          <w:b w:val="0"/>
          <w:bCs w:val="0"/>
          <w:i w:val="0"/>
          <w:iCs w:val="0"/>
          <w:color w:val="auto"/>
          <w:sz w:val="32"/>
          <w:szCs w:val="32"/>
          <w:highlight w:val="none"/>
          <w:u w:val="none"/>
          <w:lang w:eastAsia="zh-CN"/>
        </w:rPr>
        <w:t>通过科研攻关项目绩效评估后，根据该项目所取得的成效给予后补助。</w:t>
      </w:r>
    </w:p>
    <w:p w14:paraId="19F1C37E">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方正仿宋_GBK" w:cs="仿宋"/>
          <w:b w:val="0"/>
          <w:bCs w:val="0"/>
          <w:i w:val="0"/>
          <w:iCs w:val="0"/>
          <w:color w:val="auto"/>
          <w:sz w:val="32"/>
          <w:szCs w:val="32"/>
          <w:lang w:val="en-US" w:eastAsia="zh-CN"/>
        </w:rPr>
        <w:t>对广西高研院参与企业通过出资购买、作价入股、委托开发、合作开发以及科技招商等方式实施科技成果转化</w:t>
      </w:r>
      <w:r>
        <w:rPr>
          <w:rFonts w:hint="eastAsia" w:eastAsia="方正仿宋_GBK" w:cs="仿宋"/>
          <w:b w:val="0"/>
          <w:bCs w:val="0"/>
          <w:i w:val="0"/>
          <w:iCs w:val="0"/>
          <w:color w:val="auto"/>
          <w:sz w:val="32"/>
          <w:szCs w:val="32"/>
          <w:lang w:val="en-US" w:eastAsia="zh-CN"/>
        </w:rPr>
        <w:t>的</w:t>
      </w:r>
      <w:r>
        <w:rPr>
          <w:rFonts w:hint="eastAsia" w:ascii="Times New Roman" w:hAnsi="Times New Roman" w:eastAsia="方正仿宋_GBK" w:cs="仿宋"/>
          <w:b w:val="0"/>
          <w:bCs w:val="0"/>
          <w:i w:val="0"/>
          <w:iCs w:val="0"/>
          <w:color w:val="auto"/>
          <w:sz w:val="32"/>
          <w:szCs w:val="32"/>
          <w:lang w:val="en-US" w:eastAsia="zh-CN"/>
        </w:rPr>
        <w:t>，按照企业科技成果技术交易额20%</w:t>
      </w:r>
      <w:r>
        <w:rPr>
          <w:rFonts w:hint="eastAsia" w:eastAsia="方正仿宋_GBK" w:cs="仿宋"/>
          <w:b w:val="0"/>
          <w:bCs w:val="0"/>
          <w:i w:val="0"/>
          <w:iCs w:val="0"/>
          <w:color w:val="auto"/>
          <w:sz w:val="32"/>
          <w:szCs w:val="32"/>
          <w:lang w:val="en-US" w:eastAsia="zh-CN"/>
        </w:rPr>
        <w:t>—</w:t>
      </w:r>
      <w:r>
        <w:rPr>
          <w:rFonts w:hint="eastAsia" w:ascii="Times New Roman" w:hAnsi="Times New Roman" w:eastAsia="方正仿宋_GBK" w:cs="仿宋"/>
          <w:b w:val="0"/>
          <w:bCs w:val="0"/>
          <w:i w:val="0"/>
          <w:iCs w:val="0"/>
          <w:color w:val="auto"/>
          <w:sz w:val="32"/>
          <w:szCs w:val="32"/>
          <w:lang w:val="en-US" w:eastAsia="zh-CN"/>
        </w:rPr>
        <w:t>40%的比例给予后补助，单项补助金额不超过500万元。</w:t>
      </w:r>
      <w:bookmarkStart w:id="2" w:name="OLE_LINK4"/>
      <w:bookmarkStart w:id="3" w:name="OLE_LINK2"/>
    </w:p>
    <w:bookmarkEnd w:id="2"/>
    <w:bookmarkEnd w:id="3"/>
    <w:p w14:paraId="5A10BFE1">
      <w:pPr>
        <w:overflowPunct w:val="0"/>
        <w:spacing w:after="0" w:line="54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五、组织保障与职责分工</w:t>
      </w:r>
    </w:p>
    <w:p w14:paraId="6AEEA059">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（一）组织架构</w:t>
      </w:r>
    </w:p>
    <w:p w14:paraId="1F10B8FE">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领导小组</w:t>
      </w:r>
      <w:r>
        <w:rPr>
          <w:rFonts w:hint="eastAsia" w:ascii="仿宋" w:hAnsi="仿宋" w:eastAsia="仿宋"/>
          <w:color w:val="auto"/>
          <w:sz w:val="32"/>
          <w:szCs w:val="32"/>
        </w:rPr>
        <w:t>。</w:t>
      </w:r>
      <w:r>
        <w:rPr>
          <w:rFonts w:ascii="仿宋" w:hAnsi="仿宋" w:eastAsia="仿宋"/>
          <w:color w:val="auto"/>
          <w:sz w:val="32"/>
          <w:szCs w:val="32"/>
        </w:rPr>
        <w:t>由自治区教育厅</w:t>
      </w:r>
      <w:r>
        <w:rPr>
          <w:rFonts w:hint="eastAsia" w:ascii="仿宋" w:hAnsi="仿宋" w:eastAsia="仿宋"/>
          <w:color w:val="auto"/>
          <w:sz w:val="32"/>
          <w:szCs w:val="32"/>
          <w:lang w:val="en-US" w:eastAsia="zh-CN"/>
        </w:rPr>
        <w:t>联合</w:t>
      </w:r>
      <w:r>
        <w:rPr>
          <w:rFonts w:ascii="仿宋" w:hAnsi="仿宋" w:eastAsia="仿宋" w:cs="仿宋"/>
          <w:color w:val="auto"/>
          <w:sz w:val="32"/>
          <w:szCs w:val="32"/>
        </w:rPr>
        <w:t>自治区党委宣传部，自治区发展改革委</w:t>
      </w:r>
      <w:r>
        <w:rPr>
          <w:rFonts w:hint="eastAsia" w:ascii="仿宋" w:hAnsi="仿宋" w:eastAsia="仿宋" w:cs="仿宋"/>
          <w:color w:val="auto"/>
          <w:sz w:val="32"/>
          <w:szCs w:val="32"/>
          <w:lang w:eastAsia="zh-CN"/>
        </w:rPr>
        <w:t>、</w:t>
      </w:r>
      <w:r>
        <w:rPr>
          <w:rFonts w:ascii="仿宋" w:hAnsi="仿宋" w:eastAsia="仿宋" w:cs="仿宋"/>
          <w:color w:val="auto"/>
          <w:sz w:val="32"/>
          <w:szCs w:val="32"/>
        </w:rPr>
        <w:t>科技厅、工业和信息化厅、国资委、数据局</w:t>
      </w:r>
      <w:r>
        <w:rPr>
          <w:rFonts w:hint="eastAsia" w:ascii="仿宋" w:hAnsi="仿宋" w:eastAsia="仿宋" w:cs="仿宋"/>
          <w:color w:val="auto"/>
          <w:sz w:val="32"/>
          <w:szCs w:val="32"/>
          <w:lang w:eastAsia="zh-CN"/>
        </w:rPr>
        <w:t>、</w:t>
      </w:r>
      <w:r>
        <w:rPr>
          <w:rFonts w:ascii="仿宋" w:hAnsi="仿宋" w:eastAsia="仿宋" w:cs="仿宋"/>
          <w:color w:val="auto"/>
          <w:sz w:val="32"/>
          <w:szCs w:val="32"/>
        </w:rPr>
        <w:t>社科联</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园区办</w:t>
      </w:r>
      <w:r>
        <w:rPr>
          <w:rFonts w:ascii="仿宋" w:hAnsi="仿宋" w:eastAsia="仿宋"/>
          <w:color w:val="auto"/>
          <w:sz w:val="32"/>
          <w:szCs w:val="32"/>
        </w:rPr>
        <w:t>及广西高研院牵头组建，负责项目库建设重大事项统筹决策、政策协同、资源调配与跨部门协调，保障项目有序推进。</w:t>
      </w:r>
    </w:p>
    <w:p w14:paraId="0C41EB59">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管理办公室</w:t>
      </w:r>
      <w:r>
        <w:rPr>
          <w:rFonts w:hint="eastAsia" w:ascii="仿宋" w:hAnsi="仿宋" w:eastAsia="仿宋"/>
          <w:color w:val="auto"/>
          <w:sz w:val="32"/>
          <w:szCs w:val="32"/>
        </w:rPr>
        <w:t>。广西</w:t>
      </w:r>
      <w:r>
        <w:rPr>
          <w:rFonts w:ascii="仿宋" w:hAnsi="仿宋" w:eastAsia="仿宋"/>
          <w:color w:val="auto"/>
          <w:sz w:val="32"/>
          <w:szCs w:val="32"/>
        </w:rPr>
        <w:t>高研院综合事务部承担日常运营、管理信息系统维护、项目征集受理、审核组织、入库出库及动态管理等工作。</w:t>
      </w:r>
    </w:p>
    <w:p w14:paraId="45382D01">
      <w:pPr>
        <w:overflowPunct w:val="0"/>
        <w:spacing w:after="0" w:line="540" w:lineRule="exact"/>
        <w:ind w:firstLine="640" w:firstLineChars="200"/>
        <w:jc w:val="both"/>
        <w:rPr>
          <w:rFonts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w:t>
      </w:r>
      <w:r>
        <w:rPr>
          <w:rFonts w:ascii="仿宋" w:hAnsi="仿宋" w:eastAsia="仿宋"/>
          <w:color w:val="auto"/>
          <w:sz w:val="32"/>
          <w:szCs w:val="32"/>
        </w:rPr>
        <w:t>专家委员会</w:t>
      </w:r>
      <w:r>
        <w:rPr>
          <w:rFonts w:hint="eastAsia" w:ascii="仿宋" w:hAnsi="仿宋" w:eastAsia="仿宋"/>
          <w:color w:val="auto"/>
          <w:sz w:val="32"/>
          <w:szCs w:val="32"/>
        </w:rPr>
        <w:t>。</w:t>
      </w:r>
      <w:r>
        <w:rPr>
          <w:rFonts w:hint="eastAsia" w:ascii="仿宋" w:hAnsi="仿宋" w:eastAsia="仿宋" w:cs="Times New Roman"/>
          <w:color w:val="auto"/>
          <w:sz w:val="32"/>
          <w:szCs w:val="32"/>
        </w:rPr>
        <w:t>按</w:t>
      </w:r>
      <w:r>
        <w:rPr>
          <w:rFonts w:hint="eastAsia" w:ascii="仿宋" w:hAnsi="仿宋" w:eastAsia="仿宋" w:cs="Times New Roman"/>
          <w:color w:val="auto"/>
          <w:sz w:val="32"/>
          <w:szCs w:val="32"/>
          <w:lang w:val="en-US" w:eastAsia="zh-CN"/>
        </w:rPr>
        <w:t>广西高研院</w:t>
      </w:r>
      <w:r>
        <w:rPr>
          <w:rFonts w:hint="eastAsia" w:ascii="仿宋" w:hAnsi="仿宋" w:eastAsia="仿宋" w:cs="Times New Roman"/>
          <w:color w:val="auto"/>
          <w:sz w:val="32"/>
          <w:szCs w:val="32"/>
        </w:rPr>
        <w:t>三大</w:t>
      </w:r>
      <w:r>
        <w:rPr>
          <w:rFonts w:hint="eastAsia" w:ascii="仿宋" w:hAnsi="仿宋" w:eastAsia="仿宋" w:cs="Times New Roman"/>
          <w:color w:val="auto"/>
          <w:sz w:val="32"/>
          <w:szCs w:val="32"/>
          <w:lang w:val="en-US" w:eastAsia="zh-CN"/>
        </w:rPr>
        <w:t>主攻方向</w:t>
      </w:r>
      <w:r>
        <w:rPr>
          <w:rFonts w:hint="eastAsia" w:ascii="仿宋" w:hAnsi="仿宋" w:eastAsia="仿宋" w:cs="Times New Roman"/>
          <w:color w:val="auto"/>
          <w:sz w:val="32"/>
          <w:szCs w:val="32"/>
        </w:rPr>
        <w:t>设置专家组，</w:t>
      </w:r>
      <w:r>
        <w:rPr>
          <w:rFonts w:hint="eastAsia" w:ascii="仿宋" w:hAnsi="仿宋" w:eastAsia="仿宋"/>
          <w:color w:val="auto"/>
          <w:sz w:val="32"/>
          <w:szCs w:val="32"/>
          <w:lang w:val="en-US" w:eastAsia="zh-CN"/>
        </w:rPr>
        <w:t>建立</w:t>
      </w:r>
      <w:r>
        <w:rPr>
          <w:rFonts w:hint="eastAsia" w:ascii="仿宋" w:hAnsi="仿宋" w:eastAsia="仿宋" w:cs="仿宋"/>
          <w:color w:val="auto"/>
          <w:sz w:val="32"/>
          <w:szCs w:val="32"/>
          <w:highlight w:val="none"/>
          <w:lang w:val="en-US" w:eastAsia="zh-CN"/>
        </w:rPr>
        <w:t>“学术专家+行业专家+厅局专家”评审机制</w:t>
      </w:r>
      <w:r>
        <w:rPr>
          <w:rFonts w:ascii="仿宋" w:hAnsi="仿宋" w:eastAsia="仿宋"/>
          <w:color w:val="auto"/>
          <w:sz w:val="32"/>
          <w:szCs w:val="32"/>
        </w:rPr>
        <w:t>，负责项目评审、技术咨询、合规把关与专业指导</w:t>
      </w:r>
      <w:r>
        <w:rPr>
          <w:rFonts w:hint="eastAsia" w:ascii="仿宋" w:hAnsi="仿宋" w:eastAsia="仿宋"/>
          <w:color w:val="auto"/>
          <w:sz w:val="32"/>
          <w:szCs w:val="32"/>
          <w:lang w:eastAsia="zh-CN"/>
        </w:rPr>
        <w:t>；</w:t>
      </w:r>
      <w:r>
        <w:rPr>
          <w:rFonts w:hint="eastAsia" w:ascii="仿宋" w:hAnsi="仿宋" w:eastAsia="仿宋" w:cs="Times New Roman"/>
          <w:color w:val="auto"/>
          <w:sz w:val="32"/>
          <w:szCs w:val="32"/>
        </w:rPr>
        <w:t>建立专家定期轮换和回避机制，提升评审专业性、公正性和公信力。</w:t>
      </w:r>
    </w:p>
    <w:p w14:paraId="4CBD6480">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（二）职责分工</w:t>
      </w:r>
    </w:p>
    <w:p w14:paraId="32D346BD">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hint="eastAsia" w:ascii="仿宋" w:hAnsi="仿宋" w:eastAsia="仿宋"/>
          <w:color w:val="auto"/>
          <w:sz w:val="32"/>
          <w:szCs w:val="32"/>
          <w:lang w:eastAsia="zh-CN"/>
        </w:rPr>
        <w:t>自治区</w:t>
      </w:r>
      <w:r>
        <w:rPr>
          <w:rFonts w:ascii="仿宋" w:hAnsi="仿宋" w:eastAsia="仿宋"/>
          <w:color w:val="auto"/>
          <w:sz w:val="32"/>
          <w:szCs w:val="32"/>
        </w:rPr>
        <w:t>教育厅</w:t>
      </w:r>
      <w:r>
        <w:rPr>
          <w:rFonts w:hint="eastAsia" w:ascii="仿宋" w:hAnsi="仿宋" w:eastAsia="仿宋"/>
          <w:color w:val="auto"/>
          <w:sz w:val="32"/>
          <w:szCs w:val="32"/>
        </w:rPr>
        <w:t>。</w:t>
      </w:r>
      <w:r>
        <w:rPr>
          <w:rFonts w:ascii="仿宋" w:hAnsi="仿宋" w:eastAsia="仿宋"/>
          <w:color w:val="auto"/>
          <w:sz w:val="32"/>
          <w:szCs w:val="32"/>
        </w:rPr>
        <w:t>统筹区内高校科研与人才资源，落实研究生单列招生计划，支持优势学科对接产业需求，监管人才培养质量与学术规范。</w:t>
      </w:r>
    </w:p>
    <w:p w14:paraId="1B4643FC">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s="仿宋"/>
          <w:color w:val="auto"/>
          <w:sz w:val="32"/>
          <w:szCs w:val="32"/>
        </w:rPr>
        <w:t>自治区党委宣传部，自治区发展改革委</w:t>
      </w:r>
      <w:r>
        <w:rPr>
          <w:rFonts w:hint="eastAsia" w:ascii="仿宋" w:hAnsi="仿宋" w:eastAsia="仿宋" w:cs="仿宋"/>
          <w:color w:val="auto"/>
          <w:sz w:val="32"/>
          <w:szCs w:val="32"/>
          <w:lang w:eastAsia="zh-CN"/>
        </w:rPr>
        <w:t>、</w:t>
      </w:r>
      <w:r>
        <w:rPr>
          <w:rFonts w:ascii="仿宋" w:hAnsi="仿宋" w:eastAsia="仿宋" w:cs="仿宋"/>
          <w:color w:val="auto"/>
          <w:sz w:val="32"/>
          <w:szCs w:val="32"/>
        </w:rPr>
        <w:t>科技厅、工业和信息化厅、国资委、数据局</w:t>
      </w:r>
      <w:r>
        <w:rPr>
          <w:rFonts w:hint="eastAsia" w:ascii="仿宋" w:hAnsi="仿宋" w:eastAsia="仿宋" w:cs="仿宋"/>
          <w:color w:val="auto"/>
          <w:sz w:val="32"/>
          <w:szCs w:val="32"/>
          <w:lang w:eastAsia="zh-CN"/>
        </w:rPr>
        <w:t>、</w:t>
      </w:r>
      <w:r>
        <w:rPr>
          <w:rFonts w:ascii="仿宋" w:hAnsi="仿宋" w:eastAsia="仿宋" w:cs="仿宋"/>
          <w:color w:val="auto"/>
          <w:sz w:val="32"/>
          <w:szCs w:val="32"/>
        </w:rPr>
        <w:t>社科联</w:t>
      </w:r>
      <w:r>
        <w:rPr>
          <w:rFonts w:hint="eastAsia" w:ascii="仿宋" w:hAnsi="仿宋" w:eastAsia="仿宋" w:cs="仿宋"/>
          <w:color w:val="auto"/>
          <w:sz w:val="32"/>
          <w:szCs w:val="32"/>
          <w:lang w:eastAsia="zh-CN"/>
        </w:rPr>
        <w:t>、园区办</w:t>
      </w:r>
      <w:r>
        <w:rPr>
          <w:rFonts w:hint="eastAsia" w:ascii="仿宋" w:hAnsi="仿宋" w:eastAsia="仿宋"/>
          <w:color w:val="auto"/>
          <w:sz w:val="32"/>
          <w:szCs w:val="32"/>
          <w:lang w:val="en-US" w:eastAsia="zh-CN"/>
        </w:rPr>
        <w:t>协助发布项目征集通知，面向本领域有关单位围绕广西高研院三大主攻方向征集产业技术攻关合作项目需求</w:t>
      </w:r>
      <w:r>
        <w:rPr>
          <w:rFonts w:ascii="仿宋" w:hAnsi="仿宋" w:eastAsia="仿宋"/>
          <w:color w:val="auto"/>
          <w:sz w:val="32"/>
          <w:szCs w:val="32"/>
        </w:rPr>
        <w:t>。</w:t>
      </w:r>
    </w:p>
    <w:p w14:paraId="0CB5D734">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3</w:t>
      </w:r>
      <w:r>
        <w:rPr>
          <w:rFonts w:hint="eastAsia" w:ascii="仿宋" w:hAnsi="仿宋" w:eastAsia="仿宋"/>
          <w:color w:val="auto"/>
          <w:sz w:val="32"/>
          <w:szCs w:val="32"/>
        </w:rPr>
        <w:t>.广西</w:t>
      </w:r>
      <w:r>
        <w:rPr>
          <w:rFonts w:ascii="仿宋" w:hAnsi="仿宋" w:eastAsia="仿宋"/>
          <w:color w:val="auto"/>
          <w:sz w:val="32"/>
          <w:szCs w:val="32"/>
        </w:rPr>
        <w:t>高研院</w:t>
      </w:r>
      <w:r>
        <w:rPr>
          <w:rFonts w:hint="eastAsia" w:ascii="仿宋" w:hAnsi="仿宋" w:eastAsia="仿宋"/>
          <w:color w:val="auto"/>
          <w:sz w:val="32"/>
          <w:szCs w:val="32"/>
        </w:rPr>
        <w:t>。</w:t>
      </w:r>
      <w:r>
        <w:rPr>
          <w:rFonts w:ascii="仿宋" w:hAnsi="仿宋" w:eastAsia="仿宋"/>
          <w:color w:val="auto"/>
          <w:sz w:val="32"/>
          <w:szCs w:val="32"/>
        </w:rPr>
        <w:t>负责项目库全流程管理，搭建校企合作对接平台，组织评审遴选与上报教育部，开展项目过程督导、绩效评价与跟踪服务。</w:t>
      </w:r>
    </w:p>
    <w:p w14:paraId="13F885AB">
      <w:pPr>
        <w:overflowPunct w:val="0"/>
        <w:spacing w:after="0" w:line="540" w:lineRule="exact"/>
        <w:ind w:firstLine="640" w:firstLineChars="200"/>
        <w:jc w:val="both"/>
        <w:rPr>
          <w:rFonts w:ascii="仿宋" w:hAnsi="仿宋" w:eastAsia="仿宋"/>
          <w:color w:val="auto"/>
          <w:sz w:val="32"/>
          <w:szCs w:val="32"/>
        </w:rPr>
      </w:pPr>
      <w:r>
        <w:rPr>
          <w:rFonts w:ascii="Times New Roman" w:hAnsi="Times New Roman" w:eastAsia="仿宋"/>
          <w:color w:val="auto"/>
          <w:sz w:val="32"/>
          <w:szCs w:val="32"/>
        </w:rPr>
        <w:t>4</w:t>
      </w:r>
      <w:r>
        <w:rPr>
          <w:rFonts w:hint="eastAsia" w:ascii="仿宋" w:hAnsi="仿宋" w:eastAsia="仿宋"/>
          <w:color w:val="auto"/>
          <w:sz w:val="32"/>
          <w:szCs w:val="32"/>
        </w:rPr>
        <w:t>.</w:t>
      </w:r>
      <w:r>
        <w:rPr>
          <w:rFonts w:ascii="仿宋" w:hAnsi="仿宋" w:eastAsia="仿宋"/>
          <w:color w:val="auto"/>
          <w:sz w:val="32"/>
          <w:szCs w:val="32"/>
        </w:rPr>
        <w:t>企业</w:t>
      </w:r>
      <w:r>
        <w:rPr>
          <w:rFonts w:hint="eastAsia" w:ascii="仿宋" w:hAnsi="仿宋" w:eastAsia="仿宋"/>
          <w:color w:val="auto"/>
          <w:sz w:val="32"/>
          <w:szCs w:val="32"/>
        </w:rPr>
        <w:t>。</w:t>
      </w:r>
      <w:r>
        <w:rPr>
          <w:rFonts w:ascii="仿宋" w:hAnsi="仿宋" w:eastAsia="仿宋"/>
          <w:color w:val="auto"/>
          <w:sz w:val="32"/>
          <w:szCs w:val="32"/>
        </w:rPr>
        <w:t>提出真实技术攻关需求，足额落实项目经费与研究生入企实践保障条件，参与双导师制培养、联合科研攻关与成果转化。</w:t>
      </w:r>
      <w:bookmarkStart w:id="4" w:name="OLE_LINK5"/>
    </w:p>
    <w:bookmarkEnd w:id="4"/>
    <w:p w14:paraId="5DAF3B4A">
      <w:pPr>
        <w:overflowPunct w:val="0"/>
        <w:spacing w:after="0" w:line="540" w:lineRule="exact"/>
        <w:ind w:firstLine="640" w:firstLineChars="200"/>
        <w:jc w:val="both"/>
        <w:rPr>
          <w:rFonts w:hint="eastAsia" w:ascii="仿宋" w:hAnsi="仿宋" w:eastAsia="仿宋"/>
          <w:color w:val="auto"/>
          <w:sz w:val="32"/>
          <w:szCs w:val="32"/>
        </w:rPr>
      </w:pPr>
      <w:r>
        <w:rPr>
          <w:rFonts w:ascii="Times New Roman" w:hAnsi="Times New Roman" w:eastAsia="仿宋"/>
          <w:color w:val="auto"/>
          <w:sz w:val="32"/>
          <w:szCs w:val="32"/>
        </w:rPr>
        <w:t>5</w:t>
      </w:r>
      <w:r>
        <w:rPr>
          <w:rFonts w:hint="eastAsia" w:ascii="仿宋" w:hAnsi="仿宋" w:eastAsia="仿宋"/>
          <w:color w:val="auto"/>
          <w:sz w:val="32"/>
          <w:szCs w:val="32"/>
        </w:rPr>
        <w:t>.</w:t>
      </w:r>
      <w:r>
        <w:rPr>
          <w:rFonts w:ascii="仿宋" w:hAnsi="仿宋" w:eastAsia="仿宋"/>
          <w:color w:val="auto"/>
          <w:sz w:val="32"/>
          <w:szCs w:val="32"/>
        </w:rPr>
        <w:t>高校</w:t>
      </w:r>
      <w:r>
        <w:rPr>
          <w:rFonts w:hint="eastAsia" w:ascii="仿宋" w:hAnsi="仿宋" w:eastAsia="仿宋"/>
          <w:color w:val="auto"/>
          <w:sz w:val="32"/>
          <w:szCs w:val="32"/>
          <w:lang w:eastAsia="zh-CN"/>
        </w:rPr>
        <w:t>、</w:t>
      </w:r>
      <w:r>
        <w:rPr>
          <w:rFonts w:ascii="仿宋" w:hAnsi="仿宋" w:eastAsia="仿宋"/>
          <w:color w:val="auto"/>
          <w:sz w:val="32"/>
          <w:szCs w:val="32"/>
        </w:rPr>
        <w:t>科研院所</w:t>
      </w:r>
      <w:r>
        <w:rPr>
          <w:rFonts w:hint="eastAsia" w:ascii="仿宋" w:hAnsi="仿宋" w:eastAsia="仿宋"/>
          <w:color w:val="auto"/>
          <w:sz w:val="32"/>
          <w:szCs w:val="32"/>
        </w:rPr>
        <w:t>。</w:t>
      </w:r>
      <w:r>
        <w:rPr>
          <w:rFonts w:ascii="仿宋" w:hAnsi="仿宋" w:eastAsia="仿宋"/>
          <w:color w:val="auto"/>
          <w:sz w:val="32"/>
          <w:szCs w:val="32"/>
        </w:rPr>
        <w:t>组建高水平导师团队，承担项目研究与人才培养任务，严守学术诚信与科研伦理，确保研究质量与培养成效。</w:t>
      </w:r>
    </w:p>
    <w:p w14:paraId="3F334927">
      <w:pPr>
        <w:overflowPunct w:val="0"/>
        <w:spacing w:after="0" w:line="54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六、支撑平台与保障措施</w:t>
      </w:r>
    </w:p>
    <w:p w14:paraId="439CCA3F">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（一）数字化管理平台</w:t>
      </w:r>
    </w:p>
    <w:p w14:paraId="5AC9D0D1">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搭建一体化数字</w:t>
      </w:r>
      <w:r>
        <w:rPr>
          <w:rFonts w:hint="eastAsia" w:ascii="仿宋" w:hAnsi="仿宋" w:eastAsia="仿宋"/>
          <w:color w:val="auto"/>
          <w:sz w:val="32"/>
          <w:szCs w:val="32"/>
          <w:lang w:val="en-US" w:eastAsia="zh-CN"/>
        </w:rPr>
        <w:t>管理</w:t>
      </w:r>
      <w:r>
        <w:rPr>
          <w:rFonts w:ascii="仿宋" w:hAnsi="仿宋" w:eastAsia="仿宋"/>
          <w:color w:val="auto"/>
          <w:sz w:val="32"/>
          <w:szCs w:val="32"/>
        </w:rPr>
        <w:t>平台</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广西高研院</w:t>
      </w:r>
      <w:r>
        <w:rPr>
          <w:rFonts w:hint="eastAsia" w:ascii="仿宋" w:hAnsi="仿宋" w:eastAsia="仿宋" w:cs="仿宋"/>
          <w:kern w:val="0"/>
          <w:sz w:val="32"/>
          <w:szCs w:val="32"/>
          <w:lang w:val="en-US" w:eastAsia="zh-CN" w:bidi="ar"/>
        </w:rPr>
        <w:t>校企联合人才培养和科研攻关储备项目库申报系统</w:t>
      </w:r>
      <w:r>
        <w:rPr>
          <w:rFonts w:hint="eastAsia" w:ascii="仿宋" w:hAnsi="仿宋" w:eastAsia="仿宋"/>
          <w:color w:val="auto"/>
          <w:sz w:val="32"/>
          <w:szCs w:val="32"/>
          <w:lang w:eastAsia="zh-CN"/>
        </w:rPr>
        <w:t>）</w:t>
      </w:r>
      <w:r>
        <w:rPr>
          <w:rFonts w:ascii="仿宋" w:hAnsi="仿宋" w:eastAsia="仿宋"/>
          <w:color w:val="auto"/>
          <w:sz w:val="32"/>
          <w:szCs w:val="32"/>
        </w:rPr>
        <w:t>，实现项目申报、审核、入库、管理、出库全流程线上办理，做到全过程数据留痕、可追溯。</w:t>
      </w:r>
      <w:bookmarkStart w:id="5" w:name="OLE_LINK6"/>
      <w:r>
        <w:rPr>
          <w:rFonts w:hint="eastAsia" w:ascii="仿宋" w:hAnsi="仿宋" w:eastAsia="仿宋"/>
          <w:color w:val="auto"/>
          <w:sz w:val="32"/>
          <w:szCs w:val="32"/>
        </w:rPr>
        <w:t>平台支持需求标签化、智能推荐、对接记录、转化跟踪、成果统计，构建项目征集、需求匹配、校企对接、合作落地、过程管理、绩效跟踪全流程闭环，提升管理效率与精准度。</w:t>
      </w:r>
      <w:bookmarkEnd w:id="5"/>
    </w:p>
    <w:p w14:paraId="1968881C">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（二）制度保障</w:t>
      </w:r>
    </w:p>
    <w:p w14:paraId="410162A3">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构建完善制度体系，制定并执行项目评审、入库出库、动态管理、经费使用、知识产权归属、安全伦理审查、绩效评价等配套细则，确保项目征集、评审、入库、实施、监督各环节有章可循、规范运行。</w:t>
      </w:r>
    </w:p>
    <w:p w14:paraId="1D263E5D">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（三）经费与资源保障</w:t>
      </w:r>
    </w:p>
    <w:p w14:paraId="7D76B9E6">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统筹财政资金、企业研发投入、社会资本等多方资源，为项目实施、研究生入企科研实践补助、平台运维及成果转化提供稳定资金支持。协同高校、科研院所、重点企业开放科研平台、人才资源与产业场景，强化资源集成保障。</w:t>
      </w:r>
    </w:p>
    <w:p w14:paraId="41377C32">
      <w:pPr>
        <w:overflowPunct w:val="0"/>
        <w:spacing w:after="0" w:line="540" w:lineRule="exact"/>
        <w:ind w:firstLine="640" w:firstLineChars="200"/>
        <w:jc w:val="both"/>
        <w:rPr>
          <w:rFonts w:hint="eastAsia" w:ascii="楷体" w:hAnsi="楷体" w:eastAsia="楷体" w:cs="楷体"/>
          <w:color w:val="auto"/>
          <w:sz w:val="32"/>
          <w:szCs w:val="32"/>
        </w:rPr>
      </w:pPr>
      <w:r>
        <w:rPr>
          <w:rFonts w:hint="eastAsia" w:ascii="楷体" w:hAnsi="楷体" w:eastAsia="楷体" w:cs="楷体"/>
          <w:color w:val="auto"/>
          <w:sz w:val="32"/>
          <w:szCs w:val="32"/>
        </w:rPr>
        <w:t>（四）监督与绩效</w:t>
      </w:r>
    </w:p>
    <w:p w14:paraId="4EE7E583">
      <w:pPr>
        <w:overflowPunct w:val="0"/>
        <w:spacing w:after="0" w:line="540" w:lineRule="exact"/>
        <w:ind w:firstLine="640" w:firstLineChars="200"/>
        <w:jc w:val="both"/>
        <w:rPr>
          <w:rFonts w:hint="eastAsia" w:ascii="仿宋" w:hAnsi="仿宋" w:eastAsia="仿宋"/>
          <w:color w:val="auto"/>
          <w:sz w:val="32"/>
          <w:szCs w:val="32"/>
        </w:rPr>
      </w:pPr>
      <w:r>
        <w:rPr>
          <w:rFonts w:ascii="仿宋" w:hAnsi="仿宋" w:eastAsia="仿宋"/>
          <w:color w:val="auto"/>
          <w:sz w:val="32"/>
          <w:szCs w:val="32"/>
        </w:rPr>
        <w:t>建立年度检查、中期评估、结题验收、成果转化跟踪全周期监管机制，对项目实施进度、人才培养质量、经费使用、安全伦理落实等情况进行全程监督。绩效评价结果作为后续立项资格、支持力度、资源倾斜、出库升级的核心依据，强化激励约束。</w:t>
      </w:r>
    </w:p>
    <w:p w14:paraId="7C7FC3CD">
      <w:pPr>
        <w:overflowPunct w:val="0"/>
        <w:spacing w:after="0" w:line="54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七、附则</w:t>
      </w:r>
    </w:p>
    <w:p w14:paraId="696A30E5">
      <w:pPr>
        <w:overflowPunct w:val="0"/>
        <w:spacing w:after="0" w:line="540" w:lineRule="exact"/>
        <w:ind w:firstLine="640" w:firstLineChars="200"/>
        <w:jc w:val="both"/>
        <w:rPr>
          <w:rFonts w:hint="eastAsia" w:ascii="仿宋" w:hAnsi="仿宋" w:eastAsia="仿宋"/>
          <w:color w:val="auto"/>
          <w:sz w:val="32"/>
          <w:szCs w:val="32"/>
        </w:rPr>
      </w:pPr>
      <w:r>
        <w:rPr>
          <w:rFonts w:hint="eastAsia" w:ascii="Times New Roman" w:hAnsi="Times New Roman" w:eastAsia="仿宋"/>
          <w:color w:val="auto"/>
          <w:sz w:val="32"/>
          <w:szCs w:val="32"/>
        </w:rPr>
        <w:t>1</w:t>
      </w:r>
      <w:r>
        <w:rPr>
          <w:rFonts w:hint="eastAsia" w:ascii="仿宋" w:hAnsi="仿宋" w:eastAsia="仿宋"/>
          <w:color w:val="auto"/>
          <w:sz w:val="32"/>
          <w:szCs w:val="32"/>
        </w:rPr>
        <w:t>.</w:t>
      </w:r>
      <w:r>
        <w:rPr>
          <w:rFonts w:ascii="仿宋" w:hAnsi="仿宋" w:eastAsia="仿宋"/>
          <w:color w:val="auto"/>
          <w:sz w:val="32"/>
          <w:szCs w:val="32"/>
        </w:rPr>
        <w:t>本方案由教育部广西高等研究院负责解释。</w:t>
      </w:r>
    </w:p>
    <w:p w14:paraId="0C942812">
      <w:pPr>
        <w:overflowPunct w:val="0"/>
        <w:spacing w:after="0" w:line="540" w:lineRule="exact"/>
        <w:ind w:firstLine="640" w:firstLineChars="200"/>
        <w:jc w:val="both"/>
        <w:rPr>
          <w:rFonts w:ascii="仿宋" w:hAnsi="仿宋" w:eastAsia="仿宋"/>
          <w:color w:val="auto"/>
          <w:sz w:val="32"/>
          <w:szCs w:val="32"/>
        </w:rPr>
      </w:pPr>
      <w:r>
        <w:rPr>
          <w:rFonts w:ascii="Times New Roman" w:hAnsi="Times New Roman" w:eastAsia="仿宋"/>
          <w:color w:val="auto"/>
          <w:sz w:val="32"/>
          <w:szCs w:val="32"/>
        </w:rPr>
        <w:t>2</w:t>
      </w:r>
      <w:r>
        <w:rPr>
          <w:rFonts w:hint="eastAsia" w:ascii="仿宋" w:hAnsi="仿宋" w:eastAsia="仿宋"/>
          <w:color w:val="auto"/>
          <w:sz w:val="32"/>
          <w:szCs w:val="32"/>
        </w:rPr>
        <w:t>.</w:t>
      </w:r>
      <w:r>
        <w:rPr>
          <w:rFonts w:ascii="仿宋" w:hAnsi="仿宋" w:eastAsia="仿宋"/>
          <w:color w:val="auto"/>
          <w:sz w:val="32"/>
          <w:szCs w:val="32"/>
        </w:rPr>
        <w:t>本方案自印发之日起试行，根据实施情况适时修订完善。</w:t>
      </w:r>
    </w:p>
    <w:p w14:paraId="6FD5D9AB"/>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小标宋简体">
    <w:panose1 w:val="02000000000000000000"/>
    <w:charset w:val="86"/>
    <w:family w:val="auto"/>
    <w:pitch w:val="default"/>
    <w:sig w:usb0="00000001" w:usb1="08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E1F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90556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B90556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E231B"/>
    <w:rsid w:val="FCFE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s-markdown-paragraph"/>
    <w:basedOn w:val="1"/>
    <w:qFormat/>
    <w:uiPriority w:val="0"/>
    <w:pPr>
      <w:widowControl/>
      <w:spacing w:before="100" w:beforeAutospacing="1" w:after="100" w:afterAutospacing="1" w:line="240" w:lineRule="auto"/>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2026-08-22T10:28:00Z</dcterms:created>
  <dc:creator>lx</dc:creator>
  <cp:lastModifiedBy>lx</cp:lastModifiedBy>
  <dcterms:modified xsi:type="dcterms:W3CDTF">2026-08-22T10:29:38Z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3BC8A5575B9BC79C6609896AE3D5F487_41</vt:lpwstr>
  </property>
</Properties>
</file>