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EB" w:rsidRDefault="00717DEB">
      <w:pPr>
        <w:pStyle w:val="a3"/>
        <w:jc w:val="center"/>
        <w:rPr>
          <w:rFonts w:ascii="Times New Roman" w:hAnsi="Times New Roman" w:cs="Times New Roman"/>
          <w:sz w:val="44"/>
          <w:szCs w:val="44"/>
        </w:rPr>
      </w:pPr>
    </w:p>
    <w:p w:rsidR="00717DEB" w:rsidRDefault="008B33FE">
      <w:pPr>
        <w:pStyle w:val="a3"/>
        <w:jc w:val="center"/>
        <w:rPr>
          <w:rFonts w:ascii="Times New Roman" w:hAnsi="Times New Roman" w:cs="Times New Roman"/>
          <w:sz w:val="44"/>
          <w:szCs w:val="44"/>
        </w:rPr>
      </w:pPr>
      <w:r>
        <w:rPr>
          <w:rFonts w:ascii="Times New Roman" w:hAnsi="Times New Roman" w:cs="Times New Roman"/>
          <w:sz w:val="44"/>
          <w:szCs w:val="44"/>
        </w:rPr>
        <w:t>中华人民共和国个人所得税法实施条例</w:t>
      </w:r>
    </w:p>
    <w:p w:rsidR="00717DEB" w:rsidRDefault="00717DEB">
      <w:pPr>
        <w:pStyle w:val="a3"/>
        <w:ind w:firstLineChars="200" w:firstLine="640"/>
        <w:rPr>
          <w:rFonts w:ascii="方正楷体_GBK" w:eastAsia="方正楷体_GBK" w:hAnsi="方正楷体_GBK" w:cs="方正楷体_GBK"/>
          <w:sz w:val="32"/>
          <w:szCs w:val="32"/>
        </w:rPr>
      </w:pPr>
    </w:p>
    <w:p w:rsidR="00717DEB" w:rsidRDefault="008B33FE">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28</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142</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日《国务院关于修改〈中华人民共和国个人所得税法实施条例〉的决定》第一次修订　根据</w:t>
      </w:r>
      <w:r>
        <w:rPr>
          <w:rFonts w:ascii="楷体_GB2312" w:eastAsia="楷体_GB2312" w:hAnsi="楷体_GB2312" w:cs="楷体_GB2312" w:hint="eastAsia"/>
          <w:sz w:val="32"/>
          <w:szCs w:val="32"/>
        </w:rPr>
        <w:t>2008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日《国务院关于修改〈中华人民共和国个人所得税法实施条例〉的决定》第二次修订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 xml:space="preserve">日《国务院关于修改〈中华人民共和国个人所得税法实施条例〉的决定》第三次修订　</w:t>
      </w:r>
      <w:r>
        <w:rPr>
          <w:rFonts w:ascii="楷体_GB2312" w:eastAsia="楷体_GB2312" w:hAnsi="楷体_GB2312" w:cs="楷体_GB2312" w:hint="eastAsia"/>
          <w:sz w:val="32"/>
          <w:szCs w:val="32"/>
        </w:rPr>
        <w:t>2018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707</w:t>
      </w:r>
      <w:r>
        <w:rPr>
          <w:rFonts w:ascii="楷体_GB2312" w:eastAsia="楷体_GB2312" w:hAnsi="楷体_GB2312" w:cs="楷体_GB2312" w:hint="eastAsia"/>
          <w:sz w:val="32"/>
          <w:szCs w:val="32"/>
        </w:rPr>
        <w:t>号第四次修订　自</w:t>
      </w:r>
      <w:r>
        <w:rPr>
          <w:rFonts w:ascii="楷体_GB2312" w:eastAsia="楷体_GB2312" w:hAnsi="楷体_GB2312" w:cs="楷体_GB2312" w:hint="eastAsia"/>
          <w:sz w:val="32"/>
          <w:szCs w:val="32"/>
        </w:rPr>
        <w:t>2019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bookmarkEnd w:id="0"/>
    <w:p w:rsidR="00717DEB" w:rsidRDefault="00717DEB">
      <w:pPr>
        <w:pStyle w:val="a3"/>
        <w:ind w:firstLineChars="200" w:firstLine="640"/>
        <w:rPr>
          <w:rFonts w:ascii="Times New Roman" w:hAnsi="Times New Roman" w:cs="Times New Roman"/>
          <w:sz w:val="32"/>
          <w:szCs w:val="32"/>
        </w:rPr>
      </w:pP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根据《中华人民共和国个人所得税法》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以下简称个人所</w:t>
      </w:r>
      <w:r>
        <w:rPr>
          <w:rFonts w:ascii="Times New Roman" w:eastAsia="仿宋_GB2312" w:hAnsi="Times New Roman" w:cs="Times New Roman"/>
          <w:sz w:val="32"/>
          <w:szCs w:val="32"/>
        </w:rPr>
        <w:t>得税法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个人所得税法所称在中国境内有住所，是指因户籍、家庭、经济利益关系而在中国境内习惯性居住；所称从中国境内和境外取得的所得，分别是指来源于中国境内的所得和来源于中国境外的所得。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除国务院财政、税务主管部门另有规定外，下列所得，不论支付地点是否在中国境内，均为来源于中国境内的所得：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lastRenderedPageBreak/>
        <w:t>(</w:t>
      </w:r>
      <w:r w:rsidRPr="00C04B30">
        <w:rPr>
          <w:rFonts w:ascii="仿宋_GB2312" w:eastAsia="仿宋_GB2312" w:hAnsi="Times New Roman" w:cs="Times New Roman" w:hint="eastAsia"/>
          <w:sz w:val="32"/>
          <w:szCs w:val="32"/>
        </w:rPr>
        <w:t>一</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因任职、受雇、履约等在中国境内提供劳务取得的所得；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二</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将财产出租给承租人在中国境内使用而取得的所得；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三</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许可各种特许权在中国境内使用而取得的所得；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四</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转让中国境内的不动产等财产</w:t>
      </w:r>
      <w:r w:rsidRPr="00C04B30">
        <w:rPr>
          <w:rFonts w:ascii="仿宋_GB2312" w:eastAsia="仿宋_GB2312" w:hAnsi="Times New Roman" w:cs="Times New Roman" w:hint="eastAsia"/>
          <w:sz w:val="32"/>
          <w:szCs w:val="32"/>
        </w:rPr>
        <w:t>或者在中国境内转让其他财产取得的所得；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五</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从中国境内企业、事业单位、其他组织以及居民个人取得的利息、股息、红利所得。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在中国境内无住所的个人，在中国境内居住累计满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天的年度连续不满六年的，经向主管税务机关备案，其来源于中国境外且由境外单位或者个人支付的所得，免予缴纳个人所得税；在中国境内居住累计满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天的任一年度中有一次离境超过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天的，其在中国境内居住累计满</w:t>
      </w:r>
      <w:r>
        <w:rPr>
          <w:rFonts w:ascii="Times New Roman" w:eastAsia="仿宋_GB2312" w:hAnsi="Times New Roman" w:cs="Times New Roman"/>
          <w:sz w:val="32"/>
          <w:szCs w:val="32"/>
        </w:rPr>
        <w:t>183</w:t>
      </w:r>
      <w:r>
        <w:rPr>
          <w:rFonts w:ascii="Times New Roman" w:eastAsia="仿宋_GB2312" w:hAnsi="Times New Roman" w:cs="Times New Roman"/>
          <w:sz w:val="32"/>
          <w:szCs w:val="32"/>
        </w:rPr>
        <w:t>天的年度的连续年限重新起算。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在中国境内无住所的个人，在一个纳税年度内在中国境内居住累计不超过</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天的，其来源于中国境</w:t>
      </w:r>
      <w:r>
        <w:rPr>
          <w:rFonts w:ascii="Times New Roman" w:eastAsia="仿宋_GB2312" w:hAnsi="Times New Roman" w:cs="Times New Roman"/>
          <w:sz w:val="32"/>
          <w:szCs w:val="32"/>
        </w:rPr>
        <w:t>内的所得，由境外雇主支付并且不由该雇主在中国境内的机构、场所负担的部分，免予缴纳个人所得税。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个人所得税法规定的各项个人所得的范围：</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一</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工资、薪金所得，是指个人因任职或者受雇取得的工资、薪金、奖金、年终加薪、劳动分红、津贴、补贴以及</w:t>
      </w:r>
      <w:r w:rsidRPr="00C04B30">
        <w:rPr>
          <w:rFonts w:ascii="仿宋_GB2312" w:eastAsia="仿宋_GB2312" w:hAnsi="Times New Roman" w:cs="Times New Roman" w:hint="eastAsia"/>
          <w:sz w:val="32"/>
          <w:szCs w:val="32"/>
        </w:rPr>
        <w:lastRenderedPageBreak/>
        <w:t>与任职或者受雇有关的其他所得。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二</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劳务报酬所得，是指个人从事劳务取得的所得，包括从事设计、装潢、安装、制图、化验、测试、医疗、法律、会计、咨询、讲学、翻译、审稿、书画、雕刻、影视、录音、录像、演出、表演、广告、展览、技术服务、介绍服务、经纪服务、代办服务以及其他劳</w:t>
      </w:r>
      <w:r w:rsidRPr="00C04B30">
        <w:rPr>
          <w:rFonts w:ascii="仿宋_GB2312" w:eastAsia="仿宋_GB2312" w:hAnsi="Times New Roman" w:cs="Times New Roman" w:hint="eastAsia"/>
          <w:sz w:val="32"/>
          <w:szCs w:val="32"/>
        </w:rPr>
        <w:t>务取得的所得。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三</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稿酬所得，是指个人因其作品以图书、报刊等形式出版、发表而取得的所得。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四</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特许权使用费所得，是指个人提供专利权、商标权、著作权、非专利技术以及其他特许权的使用权取得的所得；提供著作权的使用权取得的所得，不包括稿酬所得。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五</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经营所得，是指：</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1</w:t>
      </w:r>
      <w:r w:rsidRPr="00C04B30">
        <w:rPr>
          <w:rFonts w:ascii="仿宋_GB2312" w:eastAsia="仿宋_GB2312" w:hAnsi="Times New Roman" w:cs="Times New Roman" w:hint="eastAsia"/>
          <w:sz w:val="32"/>
          <w:szCs w:val="32"/>
        </w:rPr>
        <w:t>．个体工商户从事生产、经营活动取得的所得，个人独资企业投资人、合伙企业的个人合伙人来源于境内注册的个人独资企业、合伙企业生产、经营的所得；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2</w:t>
      </w:r>
      <w:r w:rsidRPr="00C04B30">
        <w:rPr>
          <w:rFonts w:ascii="仿宋_GB2312" w:eastAsia="仿宋_GB2312" w:hAnsi="Times New Roman" w:cs="Times New Roman" w:hint="eastAsia"/>
          <w:sz w:val="32"/>
          <w:szCs w:val="32"/>
        </w:rPr>
        <w:t>．个人依法从事办学、医疗、咨询以及其他有偿服务活动取得的所得；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3</w:t>
      </w:r>
      <w:r w:rsidRPr="00C04B30">
        <w:rPr>
          <w:rFonts w:ascii="仿宋_GB2312" w:eastAsia="仿宋_GB2312" w:hAnsi="Times New Roman" w:cs="Times New Roman" w:hint="eastAsia"/>
          <w:sz w:val="32"/>
          <w:szCs w:val="32"/>
        </w:rPr>
        <w:t>．个人对企业、事业单位承包经营、承租经营以及转包、转租取得的所得；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4</w:t>
      </w:r>
      <w:r w:rsidRPr="00C04B30">
        <w:rPr>
          <w:rFonts w:ascii="仿宋_GB2312" w:eastAsia="仿宋_GB2312" w:hAnsi="Times New Roman" w:cs="Times New Roman" w:hint="eastAsia"/>
          <w:sz w:val="32"/>
          <w:szCs w:val="32"/>
        </w:rPr>
        <w:t>．个人从事其他生产、经营活动取得的所得。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六</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利息、股息、红利所得，是指个人拥有债权、股权等而取得的利息、股息、红利所得。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lastRenderedPageBreak/>
        <w:t>(</w:t>
      </w:r>
      <w:r w:rsidRPr="00C04B30">
        <w:rPr>
          <w:rFonts w:ascii="仿宋_GB2312" w:eastAsia="仿宋_GB2312" w:hAnsi="Times New Roman" w:cs="Times New Roman" w:hint="eastAsia"/>
          <w:sz w:val="32"/>
          <w:szCs w:val="32"/>
        </w:rPr>
        <w:t>七</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财产租赁所得，是指个人出租不动产、机器设备、车船以及其他财产取得的所得。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八</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财产转让所得，是指个人转让有价证券、股权、合伙企业中的财产份额、不动产、机器设备、车船以及其他财产取得的所得。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九</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偶然所得，是指个人得奖、中奖、中彩以及其他偶然性质的所得。</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个人取得的所得，难以界定应纳税所得项目的，由国务院税务主管部门确定。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对股票转让所得征收个人所得税的办法，由国务院另行规定，并报全国人民代表大会常务委员会备案。</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个人所得的形式，包括现金、实物、有价证券和其他形式的经济利益；所得为实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个人所</w:t>
      </w:r>
      <w:r>
        <w:rPr>
          <w:rFonts w:ascii="Times New Roman" w:eastAsia="仿宋_GB2312" w:hAnsi="Times New Roman" w:cs="Times New Roman"/>
          <w:sz w:val="32"/>
          <w:szCs w:val="32"/>
        </w:rPr>
        <w:t>得税法第四条第一款第二项所称国债利息，是指个人持有中华人民共和国财政部发行的债券而取得的利息；所称国家发行的金融债券利息，是指个人持有经国务院批准发行的金融债券而取得的利息。</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第十条　</w:t>
      </w:r>
      <w:r>
        <w:rPr>
          <w:rFonts w:ascii="Times New Roman" w:eastAsia="仿宋_GB2312" w:hAnsi="Times New Roman" w:cs="Times New Roman"/>
          <w:sz w:val="32"/>
          <w:szCs w:val="32"/>
        </w:rPr>
        <w:t>个人所得税法第四条第一款第三项所称按照国家统一规定发给的补贴、津贴，是指按照国务院规定发给的政府特殊津贴、院士津贴，以及国务院规定免予缴纳个人所得税的其他补贴、津贴。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个人所得税法第四条第一款第四项所称福利费，是指根据国家有关规定，从企业、事业单位、国家机关、社会组织提留的福利费或者工会经费中支付给个人的生活补助费；</w:t>
      </w:r>
      <w:r>
        <w:rPr>
          <w:rFonts w:ascii="Times New Roman" w:eastAsia="仿宋_GB2312" w:hAnsi="Times New Roman" w:cs="Times New Roman"/>
          <w:sz w:val="32"/>
          <w:szCs w:val="32"/>
        </w:rPr>
        <w:t>所称救济金，是指各级人民政府民政部门支付给个人的生活困难补助费。</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个人所得税法第四条第一款第八项所称依照有关法律规定应予免税的各国驻华使馆、领事馆的外交代表、领事官员和其他人员的所得，是指依照《中华人民共和国外交特权与豁免条例》和《中华人民共和国领事特权与豁免条例》规定免税的所得。</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个人所得税法第六条第一款第一项所称依法确定的其他扣除，包括个人缴付符合国家规定的企业年金、职业年金，个人购买符合国家规定的商业健康保险、税收递延型商业养老保险的支出，以及国务院规定可以扣除的其他项目。</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专项扣</w:t>
      </w:r>
      <w:r w:rsidRPr="00C04B30">
        <w:rPr>
          <w:rFonts w:ascii="仿宋_GB2312" w:eastAsia="仿宋_GB2312" w:hAnsi="Times New Roman" w:cs="Times New Roman" w:hint="eastAsia"/>
          <w:sz w:val="32"/>
          <w:szCs w:val="32"/>
        </w:rPr>
        <w:t>除、专项附加扣除和依法确定的其他扣除，以居民个人一个纳税年度的应纳税所得额为限额；一个纳税年度扣除不完的，不结转以后年度扣除。</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第十四条　</w:t>
      </w:r>
      <w:r>
        <w:rPr>
          <w:rFonts w:ascii="Times New Roman" w:eastAsia="仿宋_GB2312" w:hAnsi="Times New Roman" w:cs="Times New Roman"/>
          <w:sz w:val="32"/>
          <w:szCs w:val="32"/>
        </w:rPr>
        <w:t>个人所得税法第六条第一款第二项、第四项、第六项所称每次，分别按照下列方法确定：</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一</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劳务报酬所得、稿酬所得、特许权使用费所得，属于一次性收入的，以取得该项收入为一次；属于同一项目连续性收入的，以一个月内取得的收入为一次。</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二</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财产租赁所得，以一个月内取得的收入为一次。</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三</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利息、股息、红利所得，以支付利息、股息、红利时取得的收入为一次。</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四</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偶然所得，以每次取得该</w:t>
      </w:r>
      <w:r w:rsidRPr="00C04B30">
        <w:rPr>
          <w:rFonts w:ascii="仿宋_GB2312" w:eastAsia="仿宋_GB2312" w:hAnsi="Times New Roman" w:cs="Times New Roman" w:hint="eastAsia"/>
          <w:sz w:val="32"/>
          <w:szCs w:val="32"/>
        </w:rPr>
        <w:t>项收入为一次。</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个人所得税法第六条第一款第三项所称成本、费用，是指生产、经营活动中发生的各项直接支出和分配计入成本的间接费用以及销售费用、管理费用、财务费用；所称损失，是指生产、经营活动中发生的固定资产和存货的盘亏、毁损、报废损失，转让财产损失，坏账损失，自然灾害等不可抗力因素造成的损失以及其他损失。</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取得经营所得的个人，没有综合所得的，计算其每一纳税年度的应纳税所得额时，应当减除费用</w:t>
      </w:r>
      <w:r w:rsidRPr="00C04B30">
        <w:rPr>
          <w:rFonts w:ascii="仿宋_GB2312" w:eastAsia="仿宋_GB2312" w:hAnsi="Times New Roman" w:cs="Times New Roman" w:hint="eastAsia"/>
          <w:sz w:val="32"/>
          <w:szCs w:val="32"/>
        </w:rPr>
        <w:t>6</w:t>
      </w:r>
      <w:r w:rsidRPr="00C04B30">
        <w:rPr>
          <w:rFonts w:ascii="仿宋_GB2312" w:eastAsia="仿宋_GB2312" w:hAnsi="Times New Roman" w:cs="Times New Roman" w:hint="eastAsia"/>
          <w:sz w:val="32"/>
          <w:szCs w:val="32"/>
        </w:rPr>
        <w:t>万元、专项扣除、专项附加扣除以及依法确定的其他扣除。专项附加扣除在办理汇算清缴时减除。</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从事生产、经营活动，未提</w:t>
      </w:r>
      <w:r w:rsidRPr="00C04B30">
        <w:rPr>
          <w:rFonts w:ascii="仿宋_GB2312" w:eastAsia="仿宋_GB2312" w:hAnsi="Times New Roman" w:cs="Times New Roman" w:hint="eastAsia"/>
          <w:sz w:val="32"/>
          <w:szCs w:val="32"/>
        </w:rPr>
        <w:t>供完整、准确的纳税资料，不能正确计算应纳税所得额的，由主管税务机关核定应纳税所得额或者应纳税额。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第十六条　</w:t>
      </w:r>
      <w:r>
        <w:rPr>
          <w:rFonts w:ascii="Times New Roman" w:eastAsia="仿宋_GB2312" w:hAnsi="Times New Roman" w:cs="Times New Roman"/>
          <w:sz w:val="32"/>
          <w:szCs w:val="32"/>
        </w:rPr>
        <w:t>个人所得税法第六条第一款第五项规定的财产原值，按照下列方法确定：</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一</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有价证券，为买入价以及买入时按照规定交纳的有关费用；</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二</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建筑物，为建造费或者购进价格以及其他有关费用；</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三</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土地使用权，为取得土地使用权所支付的金额、开发土地的费用以及其他有关费用；</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四</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机器设备、车船，为购进价格、运输费、安装费以及其他有关费用。</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其他财产，参照前款规定的方法确定财产原值。</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纳税人未提供完整、准确的财产原值凭证，不能按照本条第一款规定的方法确定财产原值的，由主管税务机关核定财产原值。</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个人所得税法第六条第一款第五项所称合理费用，是指卖出财产时按照规定支付的有关税费。</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财产转让所得，按照一次转让财产的收入额减除财产原值和合理费用后的余额计算纳税。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两个以上的个人共同取得同一项目收入的，应当对每个人取得的收入分别按照个人所得税法的规定计算纳税。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个人所得税法第六条第三款所称个人将其所得对教育、扶贫、济困等公益慈善事业进行捐赠，是指个</w:t>
      </w:r>
      <w:r>
        <w:rPr>
          <w:rFonts w:ascii="Times New Roman" w:eastAsia="仿宋_GB2312" w:hAnsi="Times New Roman" w:cs="Times New Roman"/>
          <w:sz w:val="32"/>
          <w:szCs w:val="32"/>
        </w:rPr>
        <w:lastRenderedPageBreak/>
        <w:t>人将其所得通过中国境内的公益性社会组织、国家机关向教育、扶贫、济困等公益慈善事业的捐赠；所称应纳税所得额，是指计算扣除捐赠额之前的应纳税所得额。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居民个人从中国境内和境外取得的综合所得、经营所得，应当分别合并计算应纳税额；从中国境内和境外取得的其他所得，应当分别单独计算应纳税额。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个人所得税法第七条所称已在境外缴纳的个人所得税税额，是指居民个人来源于中国境外的所得，依照该所得来源国家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的法律应</w:t>
      </w:r>
      <w:r>
        <w:rPr>
          <w:rFonts w:ascii="Times New Roman" w:eastAsia="仿宋_GB2312" w:hAnsi="Times New Roman" w:cs="Times New Roman"/>
          <w:sz w:val="32"/>
          <w:szCs w:val="32"/>
        </w:rPr>
        <w:t>当缴纳并且实际已经缴纳的所得税税额。</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个人所得税法第七条所称纳税人境外所得依照本法规定计算的应纳税额，是居民个人抵免已在境外缴纳的综合所得、经营所得以及其他所得的所得税税额的限额</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以下简称抵免限额</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。除国务院财政、税务主管部门另有规定外，来源于中国境外一个国家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的综合所得抵免限额、经营所得抵免限额以及其他所得抵免限额之和，为来源于该国家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所得的抵免限额。</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居民个人在中国境外一个国家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实际已经缴纳的个人所得税税额，低于依照前款规定计算出的来源于该国家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所得的抵免限额的，应当在中国缴纳差</w:t>
      </w:r>
      <w:r w:rsidRPr="00C04B30">
        <w:rPr>
          <w:rFonts w:ascii="仿宋_GB2312" w:eastAsia="仿宋_GB2312" w:hAnsi="Times New Roman" w:cs="Times New Roman" w:hint="eastAsia"/>
          <w:sz w:val="32"/>
          <w:szCs w:val="32"/>
        </w:rPr>
        <w:t>额部分的税款；超过来源于该国家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所得的抵免限额的，其超过部分不得在本纳税年度的应纳税额中抵免，但是可以在以后纳税年</w:t>
      </w:r>
      <w:r w:rsidRPr="00C04B30">
        <w:rPr>
          <w:rFonts w:ascii="仿宋_GB2312" w:eastAsia="仿宋_GB2312" w:hAnsi="Times New Roman" w:cs="Times New Roman" w:hint="eastAsia"/>
          <w:sz w:val="32"/>
          <w:szCs w:val="32"/>
        </w:rPr>
        <w:lastRenderedPageBreak/>
        <w:t>度来源于该国家</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地区</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所得的抵免限额的余额中补扣。补扣期限最长不得超过五年。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居民个人申请抵免已在境外缴纳的个人所得税税额，应当提供境外税务机关出具的税款所属年度的有关纳税凭证。</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个人所得税法第八条第二款规定的利息，应当按照税款所属纳税申报期最后一日中国人民银行公布的与补税期间同期的人民币贷款基准利率计算，自税款纳税申报期满次日起至补缴税款期限届满之日止按日加收。纳</w:t>
      </w:r>
      <w:r>
        <w:rPr>
          <w:rFonts w:ascii="Times New Roman" w:eastAsia="仿宋_GB2312" w:hAnsi="Times New Roman" w:cs="Times New Roman"/>
          <w:sz w:val="32"/>
          <w:szCs w:val="32"/>
        </w:rPr>
        <w:t>税人在补缴税款期限届满前补缴税款的，利息加收至补缴税款之日。</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扣缴义务人向个人支付应税款项时，应当依照个人所得税法规定预扣或者代扣税款，按时缴库，并专项记载备查。</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前款所称支付，包括现金支付、汇拨支付、转账支付和以有价证券、实物以及其他形式的支付。</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取得综合所得需要办理汇算清缴的情形包括：</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一</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从两处以上取得综合所得，且综合所得年收入额减除专项扣除的余额超过</w:t>
      </w:r>
      <w:r w:rsidRPr="00C04B30">
        <w:rPr>
          <w:rFonts w:ascii="仿宋_GB2312" w:eastAsia="仿宋_GB2312" w:hAnsi="Times New Roman" w:cs="Times New Roman" w:hint="eastAsia"/>
          <w:sz w:val="32"/>
          <w:szCs w:val="32"/>
        </w:rPr>
        <w:t>6</w:t>
      </w:r>
      <w:r w:rsidRPr="00C04B30">
        <w:rPr>
          <w:rFonts w:ascii="仿宋_GB2312" w:eastAsia="仿宋_GB2312" w:hAnsi="Times New Roman" w:cs="Times New Roman" w:hint="eastAsia"/>
          <w:sz w:val="32"/>
          <w:szCs w:val="32"/>
        </w:rPr>
        <w:t>万元；</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二</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取得劳务报酬所得、稿酬所得、特许权使用费所得中一项或者多项所得，且综合所得年收入额减除专项扣除的</w:t>
      </w:r>
      <w:r w:rsidRPr="00C04B30">
        <w:rPr>
          <w:rFonts w:ascii="仿宋_GB2312" w:eastAsia="仿宋_GB2312" w:hAnsi="Times New Roman" w:cs="Times New Roman" w:hint="eastAsia"/>
          <w:sz w:val="32"/>
          <w:szCs w:val="32"/>
        </w:rPr>
        <w:lastRenderedPageBreak/>
        <w:t>余额超过</w:t>
      </w:r>
      <w:r w:rsidRPr="00C04B30">
        <w:rPr>
          <w:rFonts w:ascii="仿宋_GB2312" w:eastAsia="仿宋_GB2312" w:hAnsi="Times New Roman" w:cs="Times New Roman" w:hint="eastAsia"/>
          <w:sz w:val="32"/>
          <w:szCs w:val="32"/>
        </w:rPr>
        <w:t>6</w:t>
      </w:r>
      <w:r w:rsidRPr="00C04B30">
        <w:rPr>
          <w:rFonts w:ascii="仿宋_GB2312" w:eastAsia="仿宋_GB2312" w:hAnsi="Times New Roman" w:cs="Times New Roman" w:hint="eastAsia"/>
          <w:sz w:val="32"/>
          <w:szCs w:val="32"/>
        </w:rPr>
        <w:t>万元</w:t>
      </w:r>
      <w:r w:rsidRPr="00C04B30">
        <w:rPr>
          <w:rFonts w:ascii="仿宋_GB2312" w:eastAsia="仿宋_GB2312" w:hAnsi="Times New Roman" w:cs="Times New Roman" w:hint="eastAsia"/>
          <w:sz w:val="32"/>
          <w:szCs w:val="32"/>
        </w:rPr>
        <w:t>；</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三</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纳税年度内预缴税额低于应纳税额；</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四</w:t>
      </w:r>
      <w:r w:rsidRPr="00C04B30">
        <w:rPr>
          <w:rFonts w:ascii="仿宋_GB2312" w:eastAsia="仿宋_GB2312" w:hAnsi="Times New Roman" w:cs="Times New Roman" w:hint="eastAsia"/>
          <w:sz w:val="32"/>
          <w:szCs w:val="32"/>
        </w:rPr>
        <w:t>)</w:t>
      </w:r>
      <w:r w:rsidRPr="00C04B30">
        <w:rPr>
          <w:rFonts w:ascii="仿宋_GB2312" w:eastAsia="仿宋_GB2312" w:hAnsi="Times New Roman" w:cs="Times New Roman" w:hint="eastAsia"/>
          <w:sz w:val="32"/>
          <w:szCs w:val="32"/>
        </w:rPr>
        <w:t>纳税人申请退税。</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纳税人申请退税，应当提供其在中国境内开设的银行账户，并在汇算清缴地就地办理税款退库。</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汇算清缴的具体办法由国务院税务主管部门制定。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个人所得税法第十条第二款所称全员全额扣缴申报，是指扣缴义务人在代扣税款的次月十五日内，向主管税务机关报送其支付所得的所有个人的有关信息、支付所得数额、扣除事项和数额、扣缴税款的具体数额和总额以及其他相关涉税信息资料。</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纳税人办理纳税申报的地点以及其他有关事项的具体办法，由国务院税务主管部</w:t>
      </w:r>
      <w:r>
        <w:rPr>
          <w:rFonts w:ascii="Times New Roman" w:eastAsia="仿宋_GB2312" w:hAnsi="Times New Roman" w:cs="Times New Roman"/>
          <w:sz w:val="32"/>
          <w:szCs w:val="32"/>
        </w:rPr>
        <w:t>门制定。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居民个人取得工资、薪金所得时，可以向扣缴义务人提供专项附加扣除有关信息，由扣缴义务人扣缴税款时减除专项附加扣除。纳税人同时从两处以上取得工资、薪金所得，并由扣缴义务人减除专项附加扣除的，对同一专项附加扣除项目，在一个纳税年度内只能选择从一处取得的所得中减除。</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居民个人取得劳务报酬所得、稿酬所得、特许权使用费所得，应当在汇算清缴时向税务机关提供有关信息，减除专项附加扣除。</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第二十九条　</w:t>
      </w:r>
      <w:r>
        <w:rPr>
          <w:rFonts w:ascii="Times New Roman" w:eastAsia="仿宋_GB2312" w:hAnsi="Times New Roman" w:cs="Times New Roman"/>
          <w:sz w:val="32"/>
          <w:szCs w:val="32"/>
        </w:rPr>
        <w:t>纳税人可以委托扣缴义务人或者其他单位和个人办理汇算清缴。</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扣缴义务人应当按照纳税人提供的信息计</w:t>
      </w:r>
      <w:r>
        <w:rPr>
          <w:rFonts w:ascii="Times New Roman" w:eastAsia="仿宋_GB2312" w:hAnsi="Times New Roman" w:cs="Times New Roman"/>
          <w:sz w:val="32"/>
          <w:szCs w:val="32"/>
        </w:rPr>
        <w:t>算办理扣缴申报，不得擅自更改纳税人提供的信息。</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纳税人发现扣缴义务人提供或者扣缴申报的个人信息、所得、扣缴税款等与实际情况不符的，有权要求扣缴义务人修改。扣缴义务人拒绝修改的，纳税人应当报告税务机关，税务机关应当及时处理。</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纳税人、扣缴义务人应当按照规定保存与专项附加扣除相关的资料。税务机关可以对纳税人提供的专项附加扣除信息进行抽查，具体办法由国务院税务主管部门另行规定。税务机关发现纳税人提供虚假信息的，应当责令改正并通知扣缴义务人；情节严重的，有关部门应当依法予以处理，纳入信用信息系统并实施联合惩戒。</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纳税人申请退税时提供的汇算清缴信息有错误的，税务机关应当告知其更正；纳税人更正的，税务机关应当及时办理退税。</w:t>
      </w:r>
    </w:p>
    <w:p w:rsidR="00717DEB" w:rsidRPr="00C04B30" w:rsidRDefault="008B33FE">
      <w:pPr>
        <w:pStyle w:val="a3"/>
        <w:ind w:firstLineChars="200" w:firstLine="640"/>
        <w:rPr>
          <w:rFonts w:ascii="仿宋_GB2312" w:eastAsia="仿宋_GB2312" w:hAnsi="Times New Roman" w:cs="Times New Roman" w:hint="eastAsia"/>
          <w:sz w:val="32"/>
          <w:szCs w:val="32"/>
        </w:rPr>
      </w:pPr>
      <w:r w:rsidRPr="00C04B30">
        <w:rPr>
          <w:rFonts w:ascii="仿宋_GB2312" w:eastAsia="仿宋_GB2312" w:hAnsi="Times New Roman" w:cs="Times New Roman" w:hint="eastAsia"/>
          <w:sz w:val="32"/>
          <w:szCs w:val="32"/>
        </w:rPr>
        <w:t>扣缴义务人未将扣缴的税款解缴入库的，不影响纳税人按照规定申请退税，税务机关应当凭纳税人提供的有关资料办理退税。</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所得为人民币以外货币的，按照办理纳税申报或者扣缴申报的上一月最后一日人民币汇率中间价，折</w:t>
      </w:r>
      <w:r>
        <w:rPr>
          <w:rFonts w:ascii="Times New Roman" w:eastAsia="仿宋_GB2312" w:hAnsi="Times New Roman" w:cs="Times New Roman"/>
          <w:sz w:val="32"/>
          <w:szCs w:val="32"/>
        </w:rPr>
        <w:lastRenderedPageBreak/>
        <w:t>合成人民币计算应纳税所得额。年度终了后办理汇算清缴的，对已经按月、按季或者按次预缴税款的人民币以外货币所得，不再重新折算；对应当补缴税款的所得部分，按照上一纳税年度最后一日人民币</w:t>
      </w:r>
      <w:r>
        <w:rPr>
          <w:rFonts w:ascii="Times New Roman" w:eastAsia="仿宋_GB2312" w:hAnsi="Times New Roman" w:cs="Times New Roman"/>
          <w:sz w:val="32"/>
          <w:szCs w:val="32"/>
        </w:rPr>
        <w:t>汇率中间价，折合成人民币计算应纳税所得额。</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税务机关按照个人所得税法第十七条的规定付给扣缴义务人手续费，应当填开退还书；扣缴义务人凭退还书，按照国库管理有关规定办理退库手续。</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个人所得税纳税申报表、扣缴个人所得税报告表和个人所得税完税凭证式样，由国务院税务主管部门统一制定。</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军队人员个人所得税征收事宜，按照有关规定执行。</w:t>
      </w:r>
    </w:p>
    <w:p w:rsidR="00717DEB" w:rsidRDefault="008B33FE">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sidRPr="00C04B30">
        <w:rPr>
          <w:rFonts w:ascii="仿宋_GB2312" w:eastAsia="仿宋_GB2312" w:hAnsi="Times New Roman" w:cs="Times New Roman" w:hint="eastAsia"/>
          <w:sz w:val="32"/>
          <w:szCs w:val="32"/>
        </w:rPr>
        <w:t>本条例自</w:t>
      </w:r>
      <w:r w:rsidRPr="00C04B30">
        <w:rPr>
          <w:rFonts w:ascii="仿宋_GB2312" w:eastAsia="仿宋_GB2312" w:hAnsi="Times New Roman" w:cs="Times New Roman" w:hint="eastAsia"/>
          <w:sz w:val="32"/>
          <w:szCs w:val="32"/>
        </w:rPr>
        <w:t>2019</w:t>
      </w:r>
      <w:r w:rsidRPr="00C04B30">
        <w:rPr>
          <w:rFonts w:ascii="仿宋_GB2312" w:eastAsia="仿宋_GB2312" w:hAnsi="Times New Roman" w:cs="Times New Roman" w:hint="eastAsia"/>
          <w:sz w:val="32"/>
          <w:szCs w:val="32"/>
        </w:rPr>
        <w:t>年</w:t>
      </w:r>
      <w:r w:rsidRPr="00C04B30">
        <w:rPr>
          <w:rFonts w:ascii="仿宋_GB2312" w:eastAsia="仿宋_GB2312" w:hAnsi="Times New Roman" w:cs="Times New Roman" w:hint="eastAsia"/>
          <w:sz w:val="32"/>
          <w:szCs w:val="32"/>
        </w:rPr>
        <w:t>1</w:t>
      </w:r>
      <w:r w:rsidRPr="00C04B30">
        <w:rPr>
          <w:rFonts w:ascii="仿宋_GB2312" w:eastAsia="仿宋_GB2312" w:hAnsi="Times New Roman" w:cs="Times New Roman" w:hint="eastAsia"/>
          <w:sz w:val="32"/>
          <w:szCs w:val="32"/>
        </w:rPr>
        <w:t>月</w:t>
      </w:r>
      <w:r w:rsidRPr="00C04B30">
        <w:rPr>
          <w:rFonts w:ascii="仿宋_GB2312" w:eastAsia="仿宋_GB2312" w:hAnsi="Times New Roman" w:cs="Times New Roman" w:hint="eastAsia"/>
          <w:sz w:val="32"/>
          <w:szCs w:val="32"/>
        </w:rPr>
        <w:t>1</w:t>
      </w:r>
      <w:r w:rsidRPr="00C04B30">
        <w:rPr>
          <w:rFonts w:ascii="仿宋_GB2312" w:eastAsia="仿宋_GB2312" w:hAnsi="Times New Roman" w:cs="Times New Roman" w:hint="eastAsia"/>
          <w:sz w:val="32"/>
          <w:szCs w:val="32"/>
        </w:rPr>
        <w:t>日起施行。</w:t>
      </w:r>
    </w:p>
    <w:p w:rsidR="00717DEB" w:rsidRDefault="00717DEB"/>
    <w:sectPr w:rsidR="00717DEB" w:rsidSect="00717DE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3FE" w:rsidRDefault="008B33FE" w:rsidP="00717DEB">
      <w:r>
        <w:separator/>
      </w:r>
    </w:p>
  </w:endnote>
  <w:endnote w:type="continuationSeparator" w:id="1">
    <w:p w:rsidR="008B33FE" w:rsidRDefault="008B33FE" w:rsidP="00717D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DEB" w:rsidRDefault="00717DE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17DEB" w:rsidRDefault="00717DEB">
                <w:pPr>
                  <w:pStyle w:val="a4"/>
                </w:pPr>
                <w:r>
                  <w:rPr>
                    <w:rFonts w:hint="eastAsia"/>
                    <w:sz w:val="24"/>
                    <w:szCs w:val="24"/>
                  </w:rPr>
                  <w:fldChar w:fldCharType="begin"/>
                </w:r>
                <w:r w:rsidR="008B33FE">
                  <w:rPr>
                    <w:rFonts w:hint="eastAsia"/>
                    <w:sz w:val="24"/>
                    <w:szCs w:val="24"/>
                  </w:rPr>
                  <w:instrText xml:space="preserve"> PAGE  \* MERGEFORMAT </w:instrText>
                </w:r>
                <w:r>
                  <w:rPr>
                    <w:rFonts w:hint="eastAsia"/>
                    <w:sz w:val="24"/>
                    <w:szCs w:val="24"/>
                  </w:rPr>
                  <w:fldChar w:fldCharType="separate"/>
                </w:r>
                <w:r w:rsidR="00C04B30">
                  <w:rPr>
                    <w:noProof/>
                    <w:sz w:val="24"/>
                    <w:szCs w:val="24"/>
                  </w:rPr>
                  <w:t>- 6 -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3FE" w:rsidRDefault="008B33FE" w:rsidP="00717DEB">
      <w:r>
        <w:separator/>
      </w:r>
    </w:p>
  </w:footnote>
  <w:footnote w:type="continuationSeparator" w:id="1">
    <w:p w:rsidR="008B33FE" w:rsidRDefault="008B33FE" w:rsidP="00717D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7CD7AAE"/>
    <w:rsid w:val="00094D64"/>
    <w:rsid w:val="004453BF"/>
    <w:rsid w:val="005E20EE"/>
    <w:rsid w:val="00717DEB"/>
    <w:rsid w:val="008B33FE"/>
    <w:rsid w:val="00C04B30"/>
    <w:rsid w:val="17CD7AAE"/>
    <w:rsid w:val="432A36AC"/>
    <w:rsid w:val="46BD4DFA"/>
    <w:rsid w:val="6EBA5E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7D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17DEB"/>
    <w:rPr>
      <w:rFonts w:ascii="宋体" w:eastAsia="宋体" w:hAnsi="Courier New" w:cs="Courier New"/>
      <w:szCs w:val="21"/>
    </w:rPr>
  </w:style>
  <w:style w:type="paragraph" w:styleId="a4">
    <w:name w:val="footer"/>
    <w:basedOn w:val="a"/>
    <w:rsid w:val="00717DEB"/>
    <w:pPr>
      <w:tabs>
        <w:tab w:val="center" w:pos="4153"/>
        <w:tab w:val="right" w:pos="8306"/>
      </w:tabs>
      <w:snapToGrid w:val="0"/>
      <w:jc w:val="left"/>
    </w:pPr>
    <w:rPr>
      <w:sz w:val="18"/>
    </w:rPr>
  </w:style>
  <w:style w:type="paragraph" w:styleId="a5">
    <w:name w:val="header"/>
    <w:basedOn w:val="a"/>
    <w:qFormat/>
    <w:rsid w:val="00717DE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819</Words>
  <Characters>4669</Characters>
  <Application>Microsoft Office Word</Application>
  <DocSecurity>0</DocSecurity>
  <Lines>38</Lines>
  <Paragraphs>10</Paragraphs>
  <ScaleCrop>false</ScaleCrop>
  <Company>Microsoft</Company>
  <LinksUpToDate>false</LinksUpToDate>
  <CharactersWithSpaces>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2019-05-22T14:04:00Z</dcterms:created>
  <dcterms:modified xsi:type="dcterms:W3CDTF">2019-07-08T02:14:00Z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