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28FA9">
      <w:pPr>
        <w:pStyle w:val="17"/>
        <w:jc w:val="center"/>
        <w:rPr>
          <w:color w:val="FF0000"/>
          <w:sz w:val="22"/>
          <w:szCs w:val="44"/>
        </w:rPr>
      </w:pPr>
      <w:r>
        <w:rPr>
          <w:rFonts w:hint="eastAsia"/>
          <w:b/>
          <w:sz w:val="44"/>
          <w:szCs w:val="44"/>
        </w:rPr>
        <w:t>柳州职业技术大学2026级学历继续教育一体化综合管理平台及服务采购市场询价公告</w:t>
      </w:r>
    </w:p>
    <w:p w14:paraId="56BDE6CC">
      <w:pPr>
        <w:numPr>
          <w:ilvl w:val="0"/>
          <w:numId w:val="1"/>
        </w:numPr>
        <w:spacing w:line="500" w:lineRule="exact"/>
        <w:rPr>
          <w:rFonts w:ascii="宋体" w:hAnsi="宋体" w:cs="宋体"/>
          <w:sz w:val="24"/>
          <w:szCs w:val="24"/>
        </w:rPr>
      </w:pPr>
      <w:r>
        <w:rPr>
          <w:rFonts w:hint="eastAsia" w:ascii="宋体" w:hAnsi="宋体" w:cs="宋体"/>
          <w:sz w:val="24"/>
          <w:szCs w:val="24"/>
        </w:rPr>
        <w:t>项目名称：</w:t>
      </w:r>
      <w:r>
        <w:rPr>
          <w:rFonts w:hint="eastAsia" w:ascii="宋体" w:hAnsi="宋体" w:cs="宋体"/>
          <w:b/>
          <w:sz w:val="24"/>
          <w:szCs w:val="24"/>
        </w:rPr>
        <w:t>2026级学历继续教育一体化综合管理平台及服务采购</w:t>
      </w:r>
    </w:p>
    <w:p w14:paraId="7809A7B3">
      <w:pPr>
        <w:numPr>
          <w:ilvl w:val="0"/>
          <w:numId w:val="1"/>
        </w:numPr>
        <w:spacing w:line="500" w:lineRule="exact"/>
        <w:rPr>
          <w:rFonts w:ascii="宋体" w:hAnsi="宋体" w:cs="宋体"/>
          <w:sz w:val="24"/>
          <w:szCs w:val="24"/>
        </w:rPr>
      </w:pPr>
      <w:r>
        <w:rPr>
          <w:rFonts w:hint="eastAsia" w:ascii="宋体" w:hAnsi="宋体" w:cs="宋体"/>
          <w:sz w:val="24"/>
          <w:szCs w:val="24"/>
        </w:rPr>
        <w:t>询价采购项目预算金额：（人民币大写）</w:t>
      </w:r>
      <w:r>
        <w:rPr>
          <w:rFonts w:hint="eastAsia" w:ascii="宋体" w:hAnsi="宋体" w:cs="宋体"/>
          <w:sz w:val="24"/>
          <w:szCs w:val="24"/>
          <w:lang w:val="en-US" w:eastAsia="zh-CN"/>
        </w:rPr>
        <w:t>肆万贰仟零玖拾</w:t>
      </w:r>
      <w:r>
        <w:rPr>
          <w:rFonts w:hint="eastAsia" w:ascii="宋体" w:hAnsi="宋体" w:cs="宋体"/>
          <w:sz w:val="24"/>
          <w:szCs w:val="24"/>
        </w:rPr>
        <w:t>整（¥</w:t>
      </w:r>
      <w:r>
        <w:rPr>
          <w:rFonts w:hint="eastAsia" w:ascii="宋体" w:hAnsi="宋体" w:cs="宋体"/>
          <w:sz w:val="24"/>
          <w:szCs w:val="24"/>
          <w:lang w:val="en-US" w:eastAsia="zh-CN"/>
        </w:rPr>
        <w:t>42090</w:t>
      </w:r>
      <w:r>
        <w:rPr>
          <w:rFonts w:hint="eastAsia" w:ascii="宋体" w:hAnsi="宋体" w:cs="宋体"/>
          <w:sz w:val="24"/>
          <w:szCs w:val="24"/>
        </w:rPr>
        <w:t>.00）</w:t>
      </w:r>
    </w:p>
    <w:p w14:paraId="6ECA11A2">
      <w:pPr>
        <w:numPr>
          <w:ilvl w:val="0"/>
          <w:numId w:val="1"/>
        </w:numPr>
        <w:spacing w:line="500" w:lineRule="exact"/>
        <w:rPr>
          <w:rFonts w:ascii="宋体" w:hAnsi="宋体"/>
          <w:sz w:val="24"/>
          <w:szCs w:val="24"/>
        </w:rPr>
      </w:pPr>
      <w:r>
        <w:rPr>
          <w:rFonts w:hint="eastAsia" w:ascii="宋体" w:hAnsi="宋体"/>
          <w:sz w:val="24"/>
          <w:szCs w:val="24"/>
        </w:rPr>
        <w:t>采购要求：</w:t>
      </w:r>
    </w:p>
    <w:p w14:paraId="04E96087">
      <w:pPr>
        <w:pStyle w:val="4"/>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2"/>
        <w:tblW w:w="9747" w:type="dxa"/>
        <w:tblInd w:w="0" w:type="dxa"/>
        <w:tblLayout w:type="fixed"/>
        <w:tblCellMar>
          <w:top w:w="0" w:type="dxa"/>
          <w:left w:w="108" w:type="dxa"/>
          <w:bottom w:w="0" w:type="dxa"/>
          <w:right w:w="108" w:type="dxa"/>
        </w:tblCellMar>
      </w:tblPr>
      <w:tblGrid>
        <w:gridCol w:w="412"/>
        <w:gridCol w:w="736"/>
        <w:gridCol w:w="7040"/>
        <w:gridCol w:w="709"/>
        <w:gridCol w:w="850"/>
      </w:tblGrid>
      <w:tr w14:paraId="46D298CB">
        <w:tblPrEx>
          <w:tblCellMar>
            <w:top w:w="0" w:type="dxa"/>
            <w:left w:w="108" w:type="dxa"/>
            <w:bottom w:w="0" w:type="dxa"/>
            <w:right w:w="108" w:type="dxa"/>
          </w:tblCellMar>
        </w:tblPrEx>
        <w:trPr>
          <w:trHeight w:val="706" w:hRule="atLeast"/>
        </w:trPr>
        <w:tc>
          <w:tcPr>
            <w:tcW w:w="412" w:type="dxa"/>
            <w:tcBorders>
              <w:top w:val="single" w:color="auto" w:sz="4" w:space="0"/>
              <w:left w:val="single" w:color="auto" w:sz="4" w:space="0"/>
              <w:bottom w:val="single" w:color="auto" w:sz="4" w:space="0"/>
              <w:right w:val="single" w:color="auto" w:sz="4" w:space="0"/>
            </w:tcBorders>
            <w:vAlign w:val="center"/>
          </w:tcPr>
          <w:p w14:paraId="1B6C888D">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序号</w:t>
            </w:r>
          </w:p>
        </w:tc>
        <w:tc>
          <w:tcPr>
            <w:tcW w:w="736" w:type="dxa"/>
            <w:tcBorders>
              <w:top w:val="single" w:color="auto" w:sz="4" w:space="0"/>
              <w:left w:val="nil"/>
              <w:bottom w:val="single" w:color="auto" w:sz="4" w:space="0"/>
              <w:right w:val="single" w:color="auto" w:sz="4" w:space="0"/>
            </w:tcBorders>
            <w:vAlign w:val="center"/>
          </w:tcPr>
          <w:p w14:paraId="7D268E91">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名称</w:t>
            </w:r>
          </w:p>
        </w:tc>
        <w:tc>
          <w:tcPr>
            <w:tcW w:w="7040" w:type="dxa"/>
            <w:tcBorders>
              <w:top w:val="single" w:color="auto" w:sz="4" w:space="0"/>
              <w:left w:val="nil"/>
              <w:bottom w:val="single" w:color="auto" w:sz="4" w:space="0"/>
              <w:right w:val="single" w:color="auto" w:sz="4" w:space="0"/>
            </w:tcBorders>
            <w:vAlign w:val="center"/>
          </w:tcPr>
          <w:p w14:paraId="1704C5A6">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参数要求</w:t>
            </w:r>
          </w:p>
        </w:tc>
        <w:tc>
          <w:tcPr>
            <w:tcW w:w="709" w:type="dxa"/>
            <w:tcBorders>
              <w:top w:val="single" w:color="auto" w:sz="4" w:space="0"/>
              <w:left w:val="single" w:color="auto" w:sz="4" w:space="0"/>
              <w:bottom w:val="single" w:color="auto" w:sz="4" w:space="0"/>
              <w:right w:val="single" w:color="auto" w:sz="4" w:space="0"/>
            </w:tcBorders>
            <w:vAlign w:val="center"/>
          </w:tcPr>
          <w:p w14:paraId="103034BA">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08B7CB58">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数量</w:t>
            </w:r>
          </w:p>
        </w:tc>
      </w:tr>
      <w:tr w14:paraId="79EA0FB8">
        <w:tblPrEx>
          <w:tblCellMar>
            <w:top w:w="0" w:type="dxa"/>
            <w:left w:w="108" w:type="dxa"/>
            <w:bottom w:w="0" w:type="dxa"/>
            <w:right w:w="108" w:type="dxa"/>
          </w:tblCellMar>
        </w:tblPrEx>
        <w:trPr>
          <w:trHeight w:val="1066" w:hRule="atLeast"/>
        </w:trPr>
        <w:tc>
          <w:tcPr>
            <w:tcW w:w="412" w:type="dxa"/>
            <w:tcBorders>
              <w:top w:val="single" w:color="auto" w:sz="4" w:space="0"/>
              <w:left w:val="single" w:color="auto" w:sz="4" w:space="0"/>
              <w:bottom w:val="single" w:color="auto" w:sz="4" w:space="0"/>
              <w:right w:val="single" w:color="auto" w:sz="4" w:space="0"/>
            </w:tcBorders>
            <w:vAlign w:val="top"/>
          </w:tcPr>
          <w:p w14:paraId="085A4A47">
            <w:pPr>
              <w:widowControl/>
              <w:jc w:val="both"/>
              <w:rPr>
                <w:rFonts w:hint="eastAsia" w:ascii="宋体" w:hAnsi="宋体" w:cs="宋体"/>
                <w:b w:val="0"/>
                <w:bCs w:val="0"/>
                <w:color w:val="000000"/>
                <w:kern w:val="0"/>
                <w:sz w:val="22"/>
                <w:szCs w:val="22"/>
              </w:rPr>
            </w:pPr>
            <w:r>
              <w:rPr>
                <w:rFonts w:hint="eastAsia" w:cs="宋体" w:asciiTheme="minorEastAsia" w:hAnsiTheme="minorEastAsia"/>
                <w:b w:val="0"/>
                <w:bCs w:val="0"/>
                <w:color w:val="000000"/>
                <w:kern w:val="0"/>
                <w:sz w:val="22"/>
                <w:szCs w:val="22"/>
              </w:rPr>
              <w:t>1</w:t>
            </w:r>
          </w:p>
        </w:tc>
        <w:tc>
          <w:tcPr>
            <w:tcW w:w="736" w:type="dxa"/>
            <w:tcBorders>
              <w:top w:val="single" w:color="auto" w:sz="4" w:space="0"/>
              <w:left w:val="nil"/>
              <w:bottom w:val="single" w:color="auto" w:sz="4" w:space="0"/>
              <w:right w:val="single" w:color="auto" w:sz="4" w:space="0"/>
            </w:tcBorders>
            <w:vAlign w:val="top"/>
          </w:tcPr>
          <w:p w14:paraId="357A6B74">
            <w:pPr>
              <w:spacing w:before="68" w:line="221" w:lineRule="auto"/>
              <w:jc w:val="both"/>
              <w:rPr>
                <w:rFonts w:hint="eastAsia" w:ascii="宋体" w:hAnsi="宋体" w:cs="宋体"/>
                <w:b w:val="0"/>
                <w:bCs w:val="0"/>
                <w:color w:val="000000"/>
                <w:kern w:val="0"/>
                <w:sz w:val="22"/>
                <w:szCs w:val="22"/>
              </w:rPr>
            </w:pPr>
            <w:r>
              <w:rPr>
                <w:rFonts w:ascii="宋体" w:hAnsi="宋体" w:eastAsia="宋体" w:cs="宋体"/>
                <w:spacing w:val="1"/>
                <w:sz w:val="21"/>
                <w:szCs w:val="21"/>
              </w:rPr>
              <w:t>2026级学</w:t>
            </w:r>
            <w:r>
              <w:rPr>
                <w:rFonts w:ascii="宋体" w:hAnsi="宋体" w:eastAsia="宋体" w:cs="宋体"/>
                <w:spacing w:val="-3"/>
                <w:sz w:val="21"/>
                <w:szCs w:val="21"/>
              </w:rPr>
              <w:t>历继续教</w:t>
            </w:r>
            <w:r>
              <w:rPr>
                <w:rFonts w:ascii="宋体" w:hAnsi="宋体" w:eastAsia="宋体" w:cs="宋体"/>
                <w:spacing w:val="2"/>
                <w:sz w:val="21"/>
                <w:szCs w:val="21"/>
              </w:rPr>
              <w:t>育一体化</w:t>
            </w:r>
            <w:r>
              <w:rPr>
                <w:rFonts w:ascii="宋体" w:hAnsi="宋体" w:eastAsia="宋体" w:cs="宋体"/>
                <w:spacing w:val="-3"/>
                <w:sz w:val="21"/>
                <w:szCs w:val="21"/>
              </w:rPr>
              <w:t>综合管理</w:t>
            </w:r>
            <w:r>
              <w:rPr>
                <w:rFonts w:ascii="宋体" w:hAnsi="宋体" w:eastAsia="宋体" w:cs="宋体"/>
                <w:spacing w:val="-2"/>
                <w:sz w:val="21"/>
                <w:szCs w:val="21"/>
              </w:rPr>
              <w:t>平台及服</w:t>
            </w:r>
            <w:r>
              <w:rPr>
                <w:rFonts w:ascii="宋体" w:hAnsi="宋体" w:eastAsia="宋体" w:cs="宋体"/>
                <w:sz w:val="21"/>
                <w:szCs w:val="21"/>
              </w:rPr>
              <w:t>务</w:t>
            </w:r>
          </w:p>
        </w:tc>
        <w:tc>
          <w:tcPr>
            <w:tcW w:w="7040" w:type="dxa"/>
            <w:tcBorders>
              <w:top w:val="single" w:color="auto" w:sz="4" w:space="0"/>
              <w:left w:val="nil"/>
              <w:bottom w:val="single" w:color="auto" w:sz="4" w:space="0"/>
              <w:right w:val="single" w:color="auto" w:sz="4" w:space="0"/>
            </w:tcBorders>
            <w:vAlign w:val="center"/>
          </w:tcPr>
          <w:p w14:paraId="25ECE623">
            <w:pPr>
              <w:rPr>
                <w:rFonts w:ascii="宋体" w:hAnsi="宋体" w:eastAsia="宋体" w:cs="宋体"/>
                <w:spacing w:val="-3"/>
                <w:sz w:val="21"/>
                <w:szCs w:val="21"/>
                <w:highlight w:val="none"/>
              </w:rPr>
            </w:pPr>
            <w:r>
              <w:rPr>
                <w:rFonts w:hint="eastAsia" w:cs="Times New Roman"/>
                <w:sz w:val="21"/>
                <w:szCs w:val="21"/>
                <w:highlight w:val="none"/>
                <w:lang w:eastAsia="zh-CN"/>
              </w:rPr>
              <w:t>本次采购</w:t>
            </w:r>
            <w:r>
              <w:rPr>
                <w:rFonts w:hint="eastAsia"/>
                <w:highlight w:val="none"/>
                <w:lang w:val="en-US" w:eastAsia="zh-CN"/>
              </w:rPr>
              <w:t>面向2026级学生的平台开放使用权限、</w:t>
            </w:r>
            <w:r>
              <w:rPr>
                <w:rFonts w:hint="eastAsia" w:cs="Times New Roman"/>
                <w:sz w:val="21"/>
                <w:szCs w:val="21"/>
                <w:highlight w:val="none"/>
                <w:lang w:eastAsia="zh-CN"/>
              </w:rPr>
              <w:t>服务账号，包含</w:t>
            </w:r>
            <w:r>
              <w:rPr>
                <w:rFonts w:ascii="宋体" w:hAnsi="宋体" w:eastAsia="宋体" w:cs="宋体"/>
                <w:spacing w:val="1"/>
                <w:sz w:val="21"/>
                <w:szCs w:val="21"/>
                <w:highlight w:val="none"/>
              </w:rPr>
              <w:t>2026级学</w:t>
            </w:r>
            <w:r>
              <w:rPr>
                <w:rFonts w:ascii="宋体" w:hAnsi="宋体" w:eastAsia="宋体" w:cs="宋体"/>
                <w:spacing w:val="-3"/>
                <w:sz w:val="21"/>
                <w:szCs w:val="21"/>
                <w:highlight w:val="none"/>
              </w:rPr>
              <w:t>历继续教</w:t>
            </w:r>
            <w:r>
              <w:rPr>
                <w:rFonts w:ascii="宋体" w:hAnsi="宋体" w:eastAsia="宋体" w:cs="宋体"/>
                <w:spacing w:val="2"/>
                <w:sz w:val="21"/>
                <w:szCs w:val="21"/>
                <w:highlight w:val="none"/>
              </w:rPr>
              <w:t>育一体化</w:t>
            </w:r>
            <w:r>
              <w:rPr>
                <w:rFonts w:ascii="宋体" w:hAnsi="宋体" w:eastAsia="宋体" w:cs="宋体"/>
                <w:spacing w:val="-3"/>
                <w:sz w:val="21"/>
                <w:szCs w:val="21"/>
                <w:highlight w:val="none"/>
              </w:rPr>
              <w:t>综合管理</w:t>
            </w:r>
            <w:r>
              <w:rPr>
                <w:rFonts w:hint="eastAsia" w:cs="Times New Roman"/>
                <w:sz w:val="21"/>
                <w:szCs w:val="21"/>
                <w:highlight w:val="none"/>
                <w:lang w:eastAsia="zh-CN"/>
              </w:rPr>
              <w:t>平台</w:t>
            </w:r>
            <w:r>
              <w:rPr>
                <w:rFonts w:hint="eastAsia" w:cs="Times New Roman"/>
                <w:sz w:val="21"/>
                <w:szCs w:val="21"/>
                <w:highlight w:val="none"/>
                <w:lang w:val="en-US" w:eastAsia="zh-CN"/>
              </w:rPr>
              <w:t>的</w:t>
            </w:r>
            <w:r>
              <w:rPr>
                <w:rFonts w:ascii="宋体" w:hAnsi="宋体" w:eastAsia="宋体" w:cs="宋体"/>
                <w:spacing w:val="1"/>
                <w:sz w:val="21"/>
                <w:szCs w:val="21"/>
                <w:highlight w:val="none"/>
              </w:rPr>
              <w:t>教务管理</w:t>
            </w:r>
            <w:r>
              <w:rPr>
                <w:rFonts w:hint="eastAsia" w:ascii="宋体" w:hAnsi="宋体" w:eastAsia="宋体" w:cs="宋体"/>
                <w:spacing w:val="1"/>
                <w:sz w:val="21"/>
                <w:szCs w:val="21"/>
                <w:highlight w:val="none"/>
                <w:lang w:eastAsia="zh-CN"/>
              </w:rPr>
              <w:t>、</w:t>
            </w:r>
            <w:r>
              <w:rPr>
                <w:rFonts w:ascii="宋体" w:hAnsi="宋体" w:eastAsia="宋体" w:cs="宋体"/>
                <w:spacing w:val="1"/>
                <w:kern w:val="2"/>
                <w:sz w:val="21"/>
                <w:szCs w:val="21"/>
                <w:highlight w:val="none"/>
                <w:lang w:val="en-US" w:eastAsia="zh-CN" w:bidi="ar-SA"/>
              </w:rPr>
              <w:t>线上教学</w:t>
            </w:r>
            <w:r>
              <w:rPr>
                <w:rFonts w:hint="eastAsia" w:ascii="宋体" w:hAnsi="宋体" w:eastAsia="宋体" w:cs="宋体"/>
                <w:spacing w:val="1"/>
                <w:kern w:val="2"/>
                <w:sz w:val="21"/>
                <w:szCs w:val="21"/>
                <w:highlight w:val="none"/>
                <w:lang w:val="en-US" w:eastAsia="zh-CN" w:bidi="ar-SA"/>
              </w:rPr>
              <w:t>、</w:t>
            </w:r>
            <w:r>
              <w:rPr>
                <w:rFonts w:ascii="宋体" w:hAnsi="宋体" w:eastAsia="宋体" w:cs="宋体"/>
                <w:sz w:val="21"/>
                <w:szCs w:val="21"/>
                <w:highlight w:val="none"/>
              </w:rPr>
              <w:t>在线考试系统</w:t>
            </w:r>
            <w:r>
              <w:rPr>
                <w:rFonts w:hint="eastAsia" w:ascii="宋体" w:hAnsi="宋体" w:eastAsia="宋体" w:cs="宋体"/>
                <w:sz w:val="21"/>
                <w:szCs w:val="21"/>
                <w:highlight w:val="none"/>
                <w:lang w:val="en-US" w:eastAsia="zh-CN"/>
              </w:rPr>
              <w:t>等</w:t>
            </w:r>
            <w:r>
              <w:rPr>
                <w:rFonts w:hint="eastAsia" w:cs="Times New Roman"/>
                <w:sz w:val="21"/>
                <w:szCs w:val="21"/>
                <w:highlight w:val="none"/>
                <w:lang w:val="en-US" w:eastAsia="zh-CN"/>
              </w:rPr>
              <w:t>应用</w:t>
            </w:r>
            <w:r>
              <w:rPr>
                <w:rFonts w:hint="eastAsia" w:cs="Times New Roman"/>
                <w:sz w:val="21"/>
                <w:szCs w:val="21"/>
                <w:highlight w:val="none"/>
                <w:lang w:eastAsia="zh-CN"/>
              </w:rPr>
              <w:t>功能</w:t>
            </w:r>
            <w:r>
              <w:rPr>
                <w:rFonts w:hint="eastAsia" w:cs="Times New Roman"/>
                <w:sz w:val="21"/>
                <w:szCs w:val="21"/>
                <w:highlight w:val="none"/>
                <w:lang w:val="en-US" w:eastAsia="zh-CN"/>
              </w:rPr>
              <w:t>模块和账号</w:t>
            </w:r>
            <w:r>
              <w:rPr>
                <w:rFonts w:hint="eastAsia" w:cs="Times New Roman"/>
                <w:sz w:val="21"/>
                <w:szCs w:val="21"/>
                <w:highlight w:val="none"/>
                <w:lang w:eastAsia="zh-CN"/>
              </w:rPr>
              <w:t>服务。</w:t>
            </w:r>
            <w:r>
              <w:rPr>
                <w:rFonts w:hint="eastAsia"/>
                <w:highlight w:val="none"/>
                <w:lang w:val="en-US" w:eastAsia="zh-CN"/>
              </w:rPr>
              <w:t>采取云端部署，报价人免费提供本项目运行所需要的服务器设备和平台部署环境。</w:t>
            </w:r>
          </w:p>
          <w:p w14:paraId="7BAC6E4F">
            <w:pPr>
              <w:spacing w:before="32" w:line="219" w:lineRule="auto"/>
              <w:ind w:left="111"/>
              <w:rPr>
                <w:rFonts w:ascii="宋体" w:hAnsi="宋体" w:eastAsia="宋体" w:cs="宋体"/>
                <w:sz w:val="21"/>
                <w:szCs w:val="21"/>
              </w:rPr>
            </w:pPr>
            <w:r>
              <w:rPr>
                <w:rFonts w:ascii="宋体" w:hAnsi="宋体" w:eastAsia="宋体" w:cs="宋体"/>
                <w:spacing w:val="-3"/>
                <w:sz w:val="21"/>
                <w:szCs w:val="21"/>
              </w:rPr>
              <w:t>一、账号管理</w:t>
            </w:r>
          </w:p>
          <w:p w14:paraId="51899EEA">
            <w:pPr>
              <w:spacing w:before="2" w:line="232" w:lineRule="auto"/>
              <w:ind w:right="120"/>
              <w:rPr>
                <w:rFonts w:ascii="宋体" w:hAnsi="宋体" w:eastAsia="宋体" w:cs="宋体"/>
                <w:sz w:val="21"/>
                <w:szCs w:val="21"/>
              </w:rPr>
            </w:pPr>
            <w:r>
              <w:rPr>
                <w:rFonts w:ascii="宋体" w:hAnsi="宋体" w:eastAsia="宋体" w:cs="宋体"/>
                <w:sz w:val="21"/>
                <w:szCs w:val="21"/>
              </w:rPr>
              <w:t>1.具备前台注册、后台统一导入账号、弱密码检测、账号密</w:t>
            </w:r>
            <w:r>
              <w:rPr>
                <w:rFonts w:ascii="宋体" w:hAnsi="宋体" w:eastAsia="宋体" w:cs="宋体"/>
                <w:spacing w:val="-1"/>
                <w:sz w:val="21"/>
                <w:szCs w:val="21"/>
              </w:rPr>
              <w:t>码多次输入错误自动锁定功能。</w:t>
            </w:r>
          </w:p>
          <w:p w14:paraId="2C898CD2">
            <w:pPr>
              <w:spacing w:before="21" w:line="229" w:lineRule="auto"/>
              <w:ind w:right="144"/>
              <w:rPr>
                <w:rFonts w:ascii="宋体" w:hAnsi="宋体" w:eastAsia="宋体" w:cs="宋体"/>
                <w:sz w:val="21"/>
                <w:szCs w:val="21"/>
              </w:rPr>
            </w:pPr>
            <w:r>
              <w:rPr>
                <w:rFonts w:ascii="宋体" w:hAnsi="宋体" w:eastAsia="宋体" w:cs="宋体"/>
                <w:spacing w:val="-1"/>
                <w:sz w:val="21"/>
                <w:szCs w:val="21"/>
              </w:rPr>
              <w:t>2.提供平台与采购人现有身份认证统一系统对接服务，确保采购人现有用户账号直接登录通行功能。对接全部费用由报</w:t>
            </w:r>
            <w:r>
              <w:rPr>
                <w:rFonts w:ascii="宋体" w:hAnsi="宋体" w:eastAsia="宋体" w:cs="宋体"/>
                <w:spacing w:val="1"/>
                <w:sz w:val="21"/>
                <w:szCs w:val="21"/>
              </w:rPr>
              <w:t>价人承担(</w:t>
            </w:r>
            <w:r>
              <w:rPr>
                <w:rFonts w:ascii="宋体" w:hAnsi="宋体" w:eastAsia="宋体" w:cs="宋体"/>
                <w:b/>
                <w:bCs/>
                <w:spacing w:val="1"/>
                <w:sz w:val="21"/>
                <w:szCs w:val="21"/>
              </w:rPr>
              <w:t>报价时须提供此服务内容承诺书并加盖报价人公</w:t>
            </w:r>
            <w:r>
              <w:rPr>
                <w:rFonts w:ascii="宋体" w:hAnsi="宋体" w:eastAsia="宋体" w:cs="宋体"/>
                <w:b/>
                <w:bCs/>
                <w:spacing w:val="-2"/>
                <w:sz w:val="21"/>
                <w:szCs w:val="21"/>
              </w:rPr>
              <w:t>章，未提供或提供不全则视为报价无效)。</w:t>
            </w:r>
          </w:p>
          <w:p w14:paraId="7F9DE1C8">
            <w:pPr>
              <w:spacing w:before="47" w:line="228" w:lineRule="auto"/>
              <w:ind w:right="116"/>
              <w:rPr>
                <w:rFonts w:ascii="宋体" w:hAnsi="宋体" w:eastAsia="宋体" w:cs="宋体"/>
                <w:sz w:val="21"/>
                <w:szCs w:val="21"/>
              </w:rPr>
            </w:pPr>
            <w:r>
              <w:rPr>
                <w:rFonts w:ascii="宋体" w:hAnsi="宋体" w:eastAsia="宋体" w:cs="宋体"/>
                <w:sz w:val="21"/>
                <w:szCs w:val="21"/>
              </w:rPr>
              <w:t>3.平台7×24小时不间断运行，页面响应不高于3秒，检索响</w:t>
            </w:r>
            <w:r>
              <w:rPr>
                <w:rFonts w:ascii="宋体" w:hAnsi="宋体" w:eastAsia="宋体" w:cs="宋体"/>
                <w:spacing w:val="-1"/>
                <w:sz w:val="21"/>
                <w:szCs w:val="21"/>
              </w:rPr>
              <w:t>应不高于3秒，视频点播响应不高于6秒。</w:t>
            </w:r>
          </w:p>
          <w:p w14:paraId="6456EA3E">
            <w:pPr>
              <w:spacing w:before="8" w:line="238" w:lineRule="auto"/>
              <w:ind w:right="121"/>
              <w:rPr>
                <w:rFonts w:ascii="宋体" w:hAnsi="宋体" w:eastAsia="宋体" w:cs="宋体"/>
                <w:sz w:val="21"/>
                <w:szCs w:val="21"/>
              </w:rPr>
            </w:pPr>
            <w:r>
              <w:rPr>
                <w:rFonts w:ascii="宋体" w:hAnsi="宋体" w:eastAsia="宋体" w:cs="宋体"/>
                <w:sz w:val="21"/>
                <w:szCs w:val="21"/>
              </w:rPr>
              <w:t>4.平台采取云端部署，报价人须免费提供满足采购人业务需要的服务器、网络带宽、存储、安全等硬件</w:t>
            </w:r>
            <w:r>
              <w:rPr>
                <w:rFonts w:ascii="宋体" w:hAnsi="宋体" w:eastAsia="宋体" w:cs="宋体"/>
                <w:spacing w:val="-1"/>
                <w:sz w:val="21"/>
                <w:szCs w:val="21"/>
              </w:rPr>
              <w:t>及平台服务。</w:t>
            </w:r>
          </w:p>
          <w:p w14:paraId="350891D5">
            <w:pPr>
              <w:spacing w:before="10" w:line="234" w:lineRule="auto"/>
              <w:rPr>
                <w:rFonts w:ascii="宋体" w:hAnsi="宋体" w:eastAsia="宋体" w:cs="宋体"/>
                <w:sz w:val="21"/>
                <w:szCs w:val="21"/>
              </w:rPr>
            </w:pPr>
            <w:r>
              <w:rPr>
                <w:rFonts w:ascii="宋体" w:hAnsi="宋体" w:eastAsia="宋体" w:cs="宋体"/>
                <w:spacing w:val="-1"/>
                <w:sz w:val="21"/>
                <w:szCs w:val="21"/>
              </w:rPr>
              <w:t>5.存储管理：平台具有数据存储管理、维护、备份设备机制，报价人须提供合理的应用备份和数据备份、恢复方案，</w:t>
            </w:r>
            <w:r>
              <w:rPr>
                <w:rFonts w:ascii="宋体" w:hAnsi="宋体" w:eastAsia="宋体" w:cs="宋体"/>
                <w:spacing w:val="-2"/>
                <w:sz w:val="21"/>
                <w:szCs w:val="21"/>
              </w:rPr>
              <w:t>以便</w:t>
            </w:r>
            <w:r>
              <w:rPr>
                <w:rFonts w:ascii="宋体" w:hAnsi="宋体" w:eastAsia="宋体" w:cs="宋体"/>
                <w:sz w:val="21"/>
                <w:szCs w:val="21"/>
              </w:rPr>
              <w:t xml:space="preserve">  </w:t>
            </w:r>
            <w:r>
              <w:rPr>
                <w:rFonts w:ascii="宋体" w:hAnsi="宋体" w:eastAsia="宋体" w:cs="宋体"/>
                <w:spacing w:val="-1"/>
                <w:sz w:val="21"/>
                <w:szCs w:val="21"/>
              </w:rPr>
              <w:t>在系统出现故障时，提供即时可用的业务系统。</w:t>
            </w:r>
          </w:p>
          <w:p w14:paraId="3CBF7A65">
            <w:pPr>
              <w:spacing w:before="2" w:line="237" w:lineRule="auto"/>
              <w:ind w:right="89"/>
              <w:rPr>
                <w:rFonts w:ascii="宋体" w:hAnsi="宋体" w:eastAsia="宋体" w:cs="宋体"/>
                <w:sz w:val="21"/>
                <w:szCs w:val="21"/>
              </w:rPr>
            </w:pPr>
            <w:r>
              <w:rPr>
                <w:rFonts w:ascii="宋体" w:hAnsi="宋体" w:eastAsia="宋体" w:cs="宋体"/>
                <w:spacing w:val="-1"/>
                <w:sz w:val="21"/>
                <w:szCs w:val="21"/>
              </w:rPr>
              <w:t>6.系统平台维护：供应商须提供常规系统维护(系统监控、设</w:t>
            </w:r>
            <w:r>
              <w:rPr>
                <w:rFonts w:ascii="宋体" w:hAnsi="宋体" w:eastAsia="宋体" w:cs="宋体"/>
                <w:spacing w:val="3"/>
                <w:sz w:val="21"/>
                <w:szCs w:val="21"/>
              </w:rPr>
              <w:t>备维护)、网络环境日常维护、</w:t>
            </w:r>
            <w:r>
              <w:rPr>
                <w:rFonts w:ascii="宋体" w:hAnsi="宋体" w:eastAsia="宋体" w:cs="宋体"/>
                <w:sz w:val="21"/>
                <w:szCs w:val="21"/>
              </w:rPr>
              <w:t>OS</w:t>
            </w:r>
            <w:r>
              <w:rPr>
                <w:rFonts w:ascii="宋体" w:hAnsi="宋体" w:eastAsia="宋体" w:cs="宋体"/>
                <w:spacing w:val="3"/>
                <w:sz w:val="21"/>
                <w:szCs w:val="21"/>
              </w:rPr>
              <w:t>及数据库日常维护、应用</w:t>
            </w:r>
            <w:r>
              <w:rPr>
                <w:rFonts w:ascii="宋体" w:hAnsi="宋体" w:eastAsia="宋体" w:cs="宋体"/>
                <w:spacing w:val="4"/>
                <w:sz w:val="21"/>
                <w:szCs w:val="21"/>
              </w:rPr>
              <w:t xml:space="preserve"> </w:t>
            </w:r>
            <w:r>
              <w:rPr>
                <w:rFonts w:ascii="宋体" w:hAnsi="宋体" w:eastAsia="宋体" w:cs="宋体"/>
                <w:spacing w:val="-1"/>
                <w:sz w:val="21"/>
                <w:szCs w:val="21"/>
              </w:rPr>
              <w:t>系统维护、问题管理(含事故管理)、功能升级等服务，确保</w:t>
            </w:r>
            <w:r>
              <w:rPr>
                <w:rFonts w:ascii="宋体" w:hAnsi="宋体" w:eastAsia="宋体" w:cs="宋体"/>
                <w:spacing w:val="13"/>
                <w:sz w:val="21"/>
                <w:szCs w:val="21"/>
              </w:rPr>
              <w:t xml:space="preserve"> </w:t>
            </w:r>
            <w:r>
              <w:rPr>
                <w:rFonts w:ascii="宋体" w:hAnsi="宋体" w:eastAsia="宋体" w:cs="宋体"/>
                <w:sz w:val="21"/>
                <w:szCs w:val="21"/>
              </w:rPr>
              <w:t>采购人享有最新的平台功能服务。</w:t>
            </w:r>
          </w:p>
          <w:p w14:paraId="5EFCD5A1">
            <w:pPr>
              <w:spacing w:before="23" w:line="223" w:lineRule="auto"/>
              <w:rPr>
                <w:rFonts w:ascii="宋体" w:hAnsi="宋体" w:eastAsia="宋体" w:cs="宋体"/>
                <w:sz w:val="21"/>
                <w:szCs w:val="21"/>
              </w:rPr>
            </w:pPr>
            <w:r>
              <w:rPr>
                <w:rFonts w:ascii="宋体" w:hAnsi="宋体" w:eastAsia="宋体" w:cs="宋体"/>
                <w:spacing w:val="-3"/>
                <w:sz w:val="21"/>
                <w:szCs w:val="21"/>
              </w:rPr>
              <w:t>7.平台须支持兼容多种浏览器，支持不需要</w:t>
            </w:r>
            <w:r>
              <w:rPr>
                <w:rFonts w:ascii="宋体" w:hAnsi="宋体" w:eastAsia="宋体" w:cs="宋体"/>
                <w:spacing w:val="-4"/>
                <w:sz w:val="21"/>
                <w:szCs w:val="21"/>
              </w:rPr>
              <w:t>安装插件即可直</w:t>
            </w:r>
            <w:r>
              <w:rPr>
                <w:rFonts w:ascii="宋体" w:hAnsi="宋体" w:eastAsia="宋体" w:cs="宋体"/>
                <w:spacing w:val="-7"/>
                <w:sz w:val="21"/>
                <w:szCs w:val="21"/>
              </w:rPr>
              <w:t>接在1E9及以上版本、safari、firefox、chrome等浏览器运行。</w:t>
            </w:r>
          </w:p>
          <w:p w14:paraId="6CFCB675">
            <w:pPr>
              <w:spacing w:before="53" w:line="192" w:lineRule="auto"/>
              <w:ind w:left="121"/>
              <w:rPr>
                <w:rFonts w:ascii="宋体" w:hAnsi="宋体" w:eastAsia="宋体" w:cs="宋体"/>
                <w:sz w:val="21"/>
                <w:szCs w:val="21"/>
              </w:rPr>
            </w:pPr>
            <w:r>
              <w:rPr>
                <w:rFonts w:ascii="宋体" w:hAnsi="宋体" w:eastAsia="宋体" w:cs="宋体"/>
                <w:spacing w:val="1"/>
                <w:sz w:val="21"/>
                <w:szCs w:val="21"/>
              </w:rPr>
              <w:t>二、平台功能</w:t>
            </w:r>
          </w:p>
          <w:p w14:paraId="4F25F21C">
            <w:pPr>
              <w:pStyle w:val="4"/>
              <w:rPr>
                <w:rFonts w:hint="eastAsia" w:ascii="宋体" w:hAnsi="宋体" w:eastAsia="宋体" w:cs="宋体"/>
                <w:spacing w:val="1"/>
                <w:sz w:val="21"/>
                <w:szCs w:val="21"/>
                <w:lang w:eastAsia="zh-CN"/>
              </w:rPr>
            </w:pPr>
            <w:r>
              <w:rPr>
                <w:rFonts w:ascii="宋体" w:hAnsi="宋体" w:eastAsia="宋体" w:cs="宋体"/>
                <w:spacing w:val="1"/>
                <w:sz w:val="21"/>
                <w:szCs w:val="21"/>
              </w:rPr>
              <w:t>(一)教务管理</w:t>
            </w:r>
            <w:r>
              <w:rPr>
                <w:rFonts w:hint="eastAsia" w:ascii="宋体" w:hAnsi="宋体" w:eastAsia="宋体" w:cs="宋体"/>
                <w:spacing w:val="1"/>
                <w:sz w:val="21"/>
                <w:szCs w:val="21"/>
                <w:lang w:val="en-US" w:eastAsia="zh-CN"/>
              </w:rPr>
              <w:t>模块</w:t>
            </w:r>
          </w:p>
          <w:p w14:paraId="206AECFB">
            <w:pPr>
              <w:spacing w:before="22" w:line="219" w:lineRule="auto"/>
              <w:jc w:val="both"/>
              <w:rPr>
                <w:rFonts w:ascii="宋体" w:hAnsi="宋体" w:eastAsia="宋体" w:cs="宋体"/>
                <w:spacing w:val="1"/>
                <w:kern w:val="2"/>
                <w:sz w:val="21"/>
                <w:szCs w:val="21"/>
                <w:lang w:val="en-US" w:eastAsia="zh-CN" w:bidi="ar-SA"/>
              </w:rPr>
            </w:pPr>
            <w:r>
              <w:rPr>
                <w:rFonts w:ascii="宋体" w:hAnsi="宋体" w:eastAsia="宋体" w:cs="宋体"/>
                <w:spacing w:val="1"/>
                <w:kern w:val="2"/>
                <w:sz w:val="21"/>
                <w:szCs w:val="21"/>
                <w:lang w:val="en-US" w:eastAsia="zh-CN" w:bidi="ar-SA"/>
              </w:rPr>
              <w:t>1.具备组织机构管理、角色权限管理、账号管理、功能模块管理、系统日志管理。具备平台基础数据管理功能，包括学 期管理、年级管理、专业管理、院系管理、课程管理、网络 课程、教材管理、教室管理、学籍状态管理、学制管理、学习形式管理、授课方式 管理、学生类型管理等。具备后台 数据增、删、改、查操作功能。</w:t>
            </w:r>
          </w:p>
          <w:p w14:paraId="3AC318D7">
            <w:pPr>
              <w:spacing w:before="1" w:line="226" w:lineRule="auto"/>
              <w:ind w:left="50" w:hanging="39"/>
              <w:jc w:val="both"/>
              <w:rPr>
                <w:rFonts w:ascii="宋体" w:hAnsi="宋体" w:eastAsia="宋体" w:cs="宋体"/>
                <w:spacing w:val="1"/>
                <w:kern w:val="2"/>
                <w:sz w:val="21"/>
                <w:szCs w:val="21"/>
                <w:lang w:val="en-US" w:eastAsia="zh-CN" w:bidi="ar-SA"/>
              </w:rPr>
            </w:pPr>
            <w:r>
              <w:rPr>
                <w:rFonts w:ascii="宋体" w:hAnsi="宋体" w:eastAsia="宋体" w:cs="宋体"/>
                <w:spacing w:val="1"/>
                <w:kern w:val="2"/>
                <w:sz w:val="21"/>
                <w:szCs w:val="21"/>
                <w:lang w:val="en-US" w:eastAsia="zh-CN" w:bidi="ar-SA"/>
              </w:rPr>
              <w:t>2.具备教学点管理人员账号的新增、暂停和删除操作管理功能，具备教学点管理账号的权限配置功能；在学期教学活 动过程中，随时对教学点的工作进行考核。</w:t>
            </w:r>
          </w:p>
          <w:p w14:paraId="064F96D0">
            <w:pPr>
              <w:spacing w:line="218" w:lineRule="auto"/>
              <w:jc w:val="both"/>
              <w:rPr>
                <w:rFonts w:ascii="宋体" w:hAnsi="宋体" w:eastAsia="宋体" w:cs="宋体"/>
                <w:spacing w:val="1"/>
                <w:kern w:val="2"/>
                <w:sz w:val="21"/>
                <w:szCs w:val="21"/>
                <w:lang w:val="en-US" w:eastAsia="zh-CN" w:bidi="ar-SA"/>
              </w:rPr>
            </w:pPr>
            <w:r>
              <w:rPr>
                <w:rFonts w:ascii="宋体" w:hAnsi="宋体" w:eastAsia="宋体" w:cs="宋体"/>
                <w:spacing w:val="1"/>
                <w:kern w:val="2"/>
                <w:sz w:val="21"/>
                <w:szCs w:val="21"/>
                <w:lang w:val="en-US" w:eastAsia="zh-CN" w:bidi="ar-SA"/>
              </w:rPr>
              <w:t>3.具备对教师角色管理和教师信息维护。账号密码管理，账号和密码可以自定义添加或导入教师账号，如未填写则系统按规则自动生成，生成规则可配置，教师在登录页面可以通 过手机号验证码找回密码，登录后可以依据绑定的手机号或邮箱修改密码。</w:t>
            </w:r>
          </w:p>
          <w:p w14:paraId="1F8F271C">
            <w:pPr>
              <w:spacing w:before="4" w:line="228" w:lineRule="auto"/>
              <w:ind w:left="11"/>
              <w:jc w:val="both"/>
              <w:rPr>
                <w:rFonts w:ascii="宋体" w:hAnsi="宋体" w:eastAsia="宋体" w:cs="宋体"/>
                <w:spacing w:val="1"/>
                <w:kern w:val="2"/>
                <w:sz w:val="21"/>
                <w:szCs w:val="21"/>
                <w:lang w:val="en-US" w:eastAsia="zh-CN" w:bidi="ar-SA"/>
              </w:rPr>
            </w:pPr>
            <w:r>
              <w:rPr>
                <w:rFonts w:ascii="宋体" w:hAnsi="宋体" w:eastAsia="宋体" w:cs="宋体"/>
                <w:spacing w:val="1"/>
                <w:kern w:val="2"/>
                <w:sz w:val="21"/>
                <w:szCs w:val="21"/>
                <w:lang w:val="en-US" w:eastAsia="zh-CN" w:bidi="ar-SA"/>
              </w:rPr>
              <w:t>4.具备新生注册后使用移动端进行线上报到，人脸识别采集照片与录取照片自动匹配对比输出结论，由后台管理员审核 确认；并支持新生异动、新生统计、新生注册、新生审核管 理等功能。</w:t>
            </w:r>
          </w:p>
          <w:p w14:paraId="63873C0D">
            <w:pPr>
              <w:spacing w:before="3" w:line="226" w:lineRule="auto"/>
              <w:rPr>
                <w:rFonts w:ascii="宋体" w:hAnsi="宋体" w:eastAsia="宋体" w:cs="宋体"/>
                <w:spacing w:val="1"/>
                <w:kern w:val="2"/>
                <w:sz w:val="21"/>
                <w:szCs w:val="21"/>
                <w:lang w:val="en-US" w:eastAsia="zh-CN" w:bidi="ar-SA"/>
              </w:rPr>
            </w:pPr>
            <w:r>
              <w:rPr>
                <w:rFonts w:ascii="宋体" w:hAnsi="宋体" w:eastAsia="宋体" w:cs="宋体"/>
                <w:spacing w:val="1"/>
                <w:kern w:val="2"/>
                <w:sz w:val="21"/>
                <w:szCs w:val="21"/>
                <w:lang w:val="en-US" w:eastAsia="zh-CN" w:bidi="ar-SA"/>
              </w:rPr>
              <w:t>5.具备班级信息管理，支持管理已有班级数据，支持对班级进行增、删、改、查等操作：支持管理班主任信息，支持对 班主任进行增、删、改、查、审核等操作，支持批量或单个 添加班主任账号，并设置对应角色，针对添加的账号支持单 个或批量审核。</w:t>
            </w:r>
          </w:p>
          <w:p w14:paraId="519AF00B">
            <w:pPr>
              <w:spacing w:before="3" w:line="223" w:lineRule="auto"/>
              <w:rPr>
                <w:rFonts w:ascii="宋体" w:hAnsi="宋体" w:eastAsia="宋体" w:cs="宋体"/>
                <w:spacing w:val="1"/>
                <w:kern w:val="2"/>
                <w:sz w:val="21"/>
                <w:szCs w:val="21"/>
                <w:lang w:val="en-US" w:eastAsia="zh-CN" w:bidi="ar-SA"/>
              </w:rPr>
            </w:pPr>
            <w:r>
              <w:rPr>
                <w:rFonts w:ascii="宋体" w:hAnsi="宋体" w:eastAsia="宋体" w:cs="宋体"/>
                <w:spacing w:val="1"/>
                <w:kern w:val="2"/>
                <w:sz w:val="21"/>
                <w:szCs w:val="21"/>
                <w:lang w:val="en-US" w:eastAsia="zh-CN" w:bidi="ar-SA"/>
              </w:rPr>
              <w:t>6.具备学籍管理功能，对系统内所有已注册入学籍的学生进 行管理，可进行模拟登录学生空间、密码重置、变更学号、信息变更代操作、学籍异动代操作等。</w:t>
            </w:r>
          </w:p>
          <w:p w14:paraId="638CCE9C">
            <w:pPr>
              <w:spacing w:before="20" w:line="228" w:lineRule="auto"/>
              <w:rPr>
                <w:rFonts w:ascii="宋体" w:hAnsi="宋体" w:eastAsia="宋体" w:cs="宋体"/>
                <w:spacing w:val="1"/>
                <w:kern w:val="2"/>
                <w:sz w:val="21"/>
                <w:szCs w:val="21"/>
                <w:lang w:val="en-US" w:eastAsia="zh-CN" w:bidi="ar-SA"/>
              </w:rPr>
            </w:pPr>
            <w:r>
              <w:rPr>
                <w:rFonts w:ascii="宋体" w:hAnsi="宋体" w:eastAsia="宋体" w:cs="宋体"/>
                <w:spacing w:val="1"/>
                <w:kern w:val="2"/>
                <w:sz w:val="21"/>
                <w:szCs w:val="21"/>
                <w:lang w:val="en-US" w:eastAsia="zh-CN" w:bidi="ar-SA"/>
              </w:rPr>
              <w:t>7.具备学生入学照片、学习过程照片和毕业照片批量或单个进行导入导出功能。</w:t>
            </w:r>
          </w:p>
          <w:p w14:paraId="6309A79E">
            <w:pPr>
              <w:spacing w:before="8" w:line="224" w:lineRule="auto"/>
              <w:ind w:left="0" w:leftChars="0" w:firstLine="0" w:firstLineChars="0"/>
              <w:rPr>
                <w:rFonts w:ascii="宋体" w:hAnsi="宋体" w:eastAsia="宋体" w:cs="宋体"/>
                <w:spacing w:val="1"/>
                <w:kern w:val="2"/>
                <w:sz w:val="21"/>
                <w:szCs w:val="21"/>
                <w:lang w:val="en-US" w:eastAsia="zh-CN" w:bidi="ar-SA"/>
              </w:rPr>
            </w:pPr>
            <w:r>
              <w:rPr>
                <w:rFonts w:ascii="宋体" w:hAnsi="宋体" w:eastAsia="宋体" w:cs="宋体"/>
                <w:spacing w:val="1"/>
                <w:kern w:val="2"/>
                <w:sz w:val="21"/>
                <w:szCs w:val="21"/>
                <w:lang w:val="en-US" w:eastAsia="zh-CN" w:bidi="ar-SA"/>
              </w:rPr>
              <w:t>8.将学信网反馈身份存疑学生信息导入平台，并标识学籍状态和通知学生功能。学生可在平台提交对应的证明材料，管 理员线上进行审核，审核通过后学生状态恢复正常。</w:t>
            </w:r>
          </w:p>
          <w:p w14:paraId="1356FB33">
            <w:pPr>
              <w:spacing w:before="13" w:line="219" w:lineRule="auto"/>
              <w:rPr>
                <w:rFonts w:ascii="宋体" w:hAnsi="宋体" w:eastAsia="宋体" w:cs="宋体"/>
                <w:spacing w:val="1"/>
                <w:kern w:val="2"/>
                <w:sz w:val="21"/>
                <w:szCs w:val="21"/>
                <w:lang w:val="en-US" w:eastAsia="zh-CN" w:bidi="ar-SA"/>
              </w:rPr>
            </w:pPr>
            <w:r>
              <w:rPr>
                <w:rFonts w:ascii="宋体" w:hAnsi="宋体" w:eastAsia="宋体" w:cs="宋体"/>
                <w:spacing w:val="1"/>
                <w:kern w:val="2"/>
                <w:sz w:val="21"/>
                <w:szCs w:val="21"/>
                <w:lang w:val="en-US" w:eastAsia="zh-CN" w:bidi="ar-SA"/>
              </w:rPr>
              <w:t>9.具备智能导入教学计划数据，自动识别学院提供的培养方案文档，分析教学计划所需数据功能；具备教学任务、选课、排课、在线课堂排课、重修/补修管理、考务管理、缓考/补考管理、手动排考、线上考试管理功能。</w:t>
            </w:r>
          </w:p>
          <w:p w14:paraId="6BB20F7C">
            <w:pPr>
              <w:spacing w:before="41" w:line="228" w:lineRule="auto"/>
              <w:ind w:right="55"/>
              <w:rPr>
                <w:rFonts w:ascii="宋体" w:hAnsi="宋体" w:eastAsia="宋体" w:cs="宋体"/>
                <w:spacing w:val="1"/>
                <w:kern w:val="2"/>
                <w:sz w:val="21"/>
                <w:szCs w:val="21"/>
                <w:lang w:val="en-US" w:eastAsia="zh-CN" w:bidi="ar-SA"/>
              </w:rPr>
            </w:pPr>
            <w:r>
              <w:rPr>
                <w:rFonts w:ascii="宋体" w:hAnsi="宋体" w:eastAsia="宋体" w:cs="宋体"/>
                <w:spacing w:val="1"/>
                <w:kern w:val="2"/>
                <w:sz w:val="21"/>
                <w:szCs w:val="21"/>
                <w:lang w:val="en-US" w:eastAsia="zh-CN" w:bidi="ar-SA"/>
              </w:rPr>
              <w:t>10.具备正考成绩单条或批量导入录入，按照授课方式区分页面、管理员或教师、批量或单个发布方式录入考试成绩；依据正 考成绩录入不合格数据自动生成补考名单，设置补考成绩及格标准，支持单条录入或批量导入补考成绩；根据缓考申请和审核结果自动生成缓考名单，支持单条录入或批量导入缓考成绩； 支持打印缓考成绩登记表、重修缓考成绩登记表。</w:t>
            </w:r>
          </w:p>
          <w:p w14:paraId="492D182E">
            <w:pPr>
              <w:spacing w:before="4" w:line="232" w:lineRule="auto"/>
              <w:rPr>
                <w:rFonts w:ascii="宋体" w:hAnsi="宋体" w:eastAsia="宋体" w:cs="宋体"/>
                <w:spacing w:val="1"/>
                <w:kern w:val="2"/>
                <w:sz w:val="21"/>
                <w:szCs w:val="21"/>
                <w:lang w:val="en-US" w:eastAsia="zh-CN" w:bidi="ar-SA"/>
              </w:rPr>
            </w:pPr>
            <w:r>
              <w:rPr>
                <w:rFonts w:ascii="宋体" w:hAnsi="宋体" w:eastAsia="宋体" w:cs="宋体"/>
                <w:spacing w:val="1"/>
                <w:kern w:val="2"/>
                <w:sz w:val="21"/>
                <w:szCs w:val="21"/>
                <w:lang w:val="en-US" w:eastAsia="zh-CN" w:bidi="ar-SA"/>
              </w:rPr>
              <w:t>11.具备支持正考/重修总评成绩查询、正考/重修总评成绩查询、查看所有需要补考的学生成绩、查看所有缓考学生成绩、 查看所有已选课学生的线上平时成绩，支持手动同步成绩结果数据。</w:t>
            </w:r>
          </w:p>
          <w:p w14:paraId="56E82510">
            <w:pPr>
              <w:spacing w:before="11" w:line="228" w:lineRule="auto"/>
              <w:ind w:right="60"/>
              <w:rPr>
                <w:rFonts w:ascii="宋体" w:hAnsi="宋体" w:eastAsia="宋体" w:cs="宋体"/>
                <w:spacing w:val="1"/>
                <w:kern w:val="2"/>
                <w:sz w:val="21"/>
                <w:szCs w:val="21"/>
                <w:lang w:val="en-US" w:eastAsia="zh-CN" w:bidi="ar-SA"/>
              </w:rPr>
            </w:pPr>
            <w:r>
              <w:rPr>
                <w:rFonts w:ascii="宋体" w:hAnsi="宋体" w:eastAsia="宋体" w:cs="宋体"/>
                <w:spacing w:val="1"/>
                <w:kern w:val="2"/>
                <w:sz w:val="21"/>
                <w:szCs w:val="21"/>
                <w:lang w:val="en-US" w:eastAsia="zh-CN" w:bidi="ar-SA"/>
              </w:rPr>
              <w:t>12.具备毕业条件维护、毕业批次管理、毕业审核管理、延期毕业管理、毕业生登记表管理、档案管理、学分互认管理。</w:t>
            </w:r>
          </w:p>
          <w:p w14:paraId="3C50002F">
            <w:pPr>
              <w:spacing w:before="21" w:line="235" w:lineRule="auto"/>
              <w:rPr>
                <w:rFonts w:ascii="宋体" w:hAnsi="宋体" w:eastAsia="宋体" w:cs="宋体"/>
                <w:spacing w:val="1"/>
                <w:kern w:val="2"/>
                <w:sz w:val="21"/>
                <w:szCs w:val="21"/>
                <w:lang w:val="en-US" w:eastAsia="zh-CN" w:bidi="ar-SA"/>
              </w:rPr>
            </w:pPr>
            <w:r>
              <w:rPr>
                <w:rFonts w:ascii="宋体" w:hAnsi="宋体" w:eastAsia="宋体" w:cs="宋体"/>
                <w:spacing w:val="1"/>
                <w:kern w:val="2"/>
                <w:sz w:val="21"/>
                <w:szCs w:val="21"/>
                <w:lang w:val="en-US" w:eastAsia="zh-CN" w:bidi="ar-SA"/>
              </w:rPr>
              <w:t>13.课程内容安全检测：支持敏感文本、图片、文档在线检测功能：支持自定义敏感关键词、敏感忽略词、用户黑白名单、 图片名单。支持通过用户风险统计、垃圾发布量、垃圾发布率的维度统计用户风险。</w:t>
            </w:r>
          </w:p>
          <w:p w14:paraId="5B3F3FE1">
            <w:pPr>
              <w:spacing w:before="42" w:line="236" w:lineRule="auto"/>
              <w:ind w:right="18"/>
              <w:rPr>
                <w:rFonts w:ascii="宋体" w:hAnsi="宋体" w:eastAsia="宋体" w:cs="宋体"/>
                <w:spacing w:val="1"/>
                <w:kern w:val="2"/>
                <w:sz w:val="21"/>
                <w:szCs w:val="21"/>
                <w:lang w:val="en-US" w:eastAsia="zh-CN" w:bidi="ar-SA"/>
              </w:rPr>
            </w:pPr>
            <w:r>
              <w:rPr>
                <w:rFonts w:ascii="宋体" w:hAnsi="宋体" w:eastAsia="宋体" w:cs="宋体"/>
                <w:spacing w:val="1"/>
                <w:kern w:val="2"/>
                <w:sz w:val="21"/>
                <w:szCs w:val="21"/>
                <w:lang w:val="en-US" w:eastAsia="zh-CN" w:bidi="ar-SA"/>
              </w:rPr>
              <w:t>14.网络课程批量设置机制：可以批量设置课程章节开放模式、批量设置课程学习时间、批量设置课程章节测验、批量设置课程教师权限、批量设置任务点属性、批量设置是否允许查看课程成绩统计、批量设置解禁或禁言群聊、批量设置删除章节视频中的题目、设置网络课单位标识、批量设置视频连播、批量设置是否开启学习监控、批量设置课程通知、批量设置作业截止时间。</w:t>
            </w:r>
          </w:p>
          <w:p w14:paraId="374A29C9">
            <w:pPr>
              <w:pStyle w:val="4"/>
              <w:rPr>
                <w:rFonts w:ascii="宋体" w:hAnsi="宋体" w:eastAsia="宋体" w:cs="宋体"/>
                <w:spacing w:val="1"/>
                <w:kern w:val="2"/>
                <w:sz w:val="21"/>
                <w:szCs w:val="21"/>
                <w:lang w:val="en-US" w:eastAsia="zh-CN" w:bidi="ar-SA"/>
              </w:rPr>
            </w:pPr>
            <w:r>
              <w:rPr>
                <w:rFonts w:ascii="宋体" w:hAnsi="宋体" w:eastAsia="宋体" w:cs="宋体"/>
                <w:spacing w:val="1"/>
                <w:kern w:val="2"/>
                <w:sz w:val="21"/>
                <w:szCs w:val="21"/>
                <w:lang w:val="en-US" w:eastAsia="zh-CN" w:bidi="ar-SA"/>
              </w:rPr>
              <w:t>(二)线上教学</w:t>
            </w:r>
            <w:r>
              <w:rPr>
                <w:rFonts w:hint="eastAsia" w:ascii="宋体" w:hAnsi="宋体" w:eastAsia="宋体" w:cs="宋体"/>
                <w:spacing w:val="1"/>
                <w:sz w:val="21"/>
                <w:szCs w:val="21"/>
                <w:lang w:val="en-US" w:eastAsia="zh-CN"/>
              </w:rPr>
              <w:t>模块</w:t>
            </w:r>
          </w:p>
          <w:p w14:paraId="42E109F3">
            <w:pPr>
              <w:spacing w:before="32" w:line="231" w:lineRule="auto"/>
              <w:rPr>
                <w:rFonts w:ascii="宋体" w:hAnsi="宋体" w:eastAsia="宋体" w:cs="宋体"/>
                <w:sz w:val="21"/>
                <w:szCs w:val="21"/>
              </w:rPr>
            </w:pPr>
            <w:r>
              <w:rPr>
                <w:rFonts w:ascii="宋体" w:hAnsi="宋体" w:eastAsia="宋体" w:cs="宋体"/>
                <w:spacing w:val="1"/>
                <w:kern w:val="2"/>
                <w:sz w:val="21"/>
                <w:szCs w:val="21"/>
                <w:lang w:val="en-US" w:eastAsia="zh-CN" w:bidi="ar-SA"/>
              </w:rPr>
              <w:t>1.具备多种教学模式，如辅助教学、翻转课堂、纯网络教学</w:t>
            </w:r>
            <w:r>
              <w:rPr>
                <w:rFonts w:ascii="宋体" w:hAnsi="宋体" w:eastAsia="宋体" w:cs="宋体"/>
                <w:spacing w:val="1"/>
                <w:sz w:val="21"/>
                <w:szCs w:val="21"/>
              </w:rPr>
              <w:t>等：具备输入课程名称、教师名称、选择所属单位快</w:t>
            </w:r>
            <w:r>
              <w:rPr>
                <w:rFonts w:ascii="宋体" w:hAnsi="宋体" w:eastAsia="宋体" w:cs="宋体"/>
                <w:sz w:val="21"/>
                <w:szCs w:val="21"/>
              </w:rPr>
              <w:t>速创建、</w:t>
            </w:r>
            <w:r>
              <w:rPr>
                <w:rFonts w:ascii="宋体" w:hAnsi="宋体" w:eastAsia="宋体" w:cs="宋体"/>
                <w:spacing w:val="18"/>
                <w:sz w:val="21"/>
                <w:szCs w:val="21"/>
              </w:rPr>
              <w:t>编辑网络课程功能；</w:t>
            </w:r>
          </w:p>
          <w:p w14:paraId="1C067346">
            <w:pPr>
              <w:spacing w:before="30" w:line="230" w:lineRule="auto"/>
              <w:ind w:right="112"/>
              <w:rPr>
                <w:rFonts w:ascii="宋体" w:hAnsi="宋体" w:eastAsia="宋体" w:cs="宋体"/>
                <w:sz w:val="21"/>
                <w:szCs w:val="21"/>
              </w:rPr>
            </w:pPr>
            <w:r>
              <w:rPr>
                <w:rFonts w:ascii="宋体" w:hAnsi="宋体" w:eastAsia="宋体" w:cs="宋体"/>
                <w:sz w:val="21"/>
                <w:szCs w:val="21"/>
              </w:rPr>
              <w:t>2.具备教案内容一键投屏，按照教案备课顺序进行互动教学</w:t>
            </w:r>
            <w:r>
              <w:rPr>
                <w:rFonts w:ascii="宋体" w:hAnsi="宋体" w:eastAsia="宋体" w:cs="宋体"/>
                <w:spacing w:val="-9"/>
                <w:sz w:val="21"/>
                <w:szCs w:val="21"/>
              </w:rPr>
              <w:t>功 能</w:t>
            </w:r>
            <w:r>
              <w:rPr>
                <w:rFonts w:ascii="宋体" w:hAnsi="宋体" w:eastAsia="宋体" w:cs="宋体"/>
                <w:spacing w:val="-21"/>
                <w:sz w:val="21"/>
                <w:szCs w:val="21"/>
              </w:rPr>
              <w:t xml:space="preserve"> </w:t>
            </w:r>
            <w:r>
              <w:rPr>
                <w:rFonts w:ascii="宋体" w:hAnsi="宋体" w:eastAsia="宋体" w:cs="宋体"/>
                <w:spacing w:val="-9"/>
                <w:sz w:val="21"/>
                <w:szCs w:val="21"/>
              </w:rPr>
              <w:t>；</w:t>
            </w:r>
          </w:p>
          <w:p w14:paraId="4BC6FEC4">
            <w:pPr>
              <w:pStyle w:val="4"/>
              <w:rPr>
                <w:rFonts w:ascii="宋体" w:hAnsi="宋体" w:eastAsia="宋体" w:cs="宋体"/>
                <w:spacing w:val="5"/>
                <w:sz w:val="21"/>
                <w:szCs w:val="21"/>
              </w:rPr>
            </w:pPr>
            <w:r>
              <w:rPr>
                <w:rFonts w:ascii="宋体" w:hAnsi="宋体" w:eastAsia="宋体" w:cs="宋体"/>
                <w:spacing w:val="1"/>
                <w:sz w:val="21"/>
                <w:szCs w:val="21"/>
              </w:rPr>
              <w:t>3.具备章节知识点学习推送控制、任务驱动式的进阶式学习</w:t>
            </w:r>
            <w:r>
              <w:rPr>
                <w:rFonts w:ascii="宋体" w:hAnsi="宋体" w:eastAsia="宋体" w:cs="宋体"/>
                <w:spacing w:val="5"/>
                <w:sz w:val="21"/>
                <w:szCs w:val="21"/>
              </w:rPr>
              <w:t>控制、学习过程的监督和跟踪、视频播放控制；</w:t>
            </w:r>
          </w:p>
          <w:p w14:paraId="3595F446">
            <w:pPr>
              <w:spacing w:before="30" w:line="230" w:lineRule="auto"/>
              <w:ind w:right="112"/>
              <w:rPr>
                <w:rFonts w:ascii="宋体" w:hAnsi="宋体" w:eastAsia="宋体" w:cs="宋体"/>
                <w:sz w:val="21"/>
                <w:szCs w:val="21"/>
              </w:rPr>
            </w:pPr>
            <w:r>
              <w:rPr>
                <w:rFonts w:ascii="宋体" w:hAnsi="宋体" w:eastAsia="宋体" w:cs="宋体"/>
                <w:sz w:val="21"/>
                <w:szCs w:val="21"/>
              </w:rPr>
              <w:t>4.具备教学过程中的统计，包括基础数据、课堂报告、学情统计、视频观看统计、学生进度统计等；</w:t>
            </w:r>
          </w:p>
          <w:p w14:paraId="4EE92FDA">
            <w:pPr>
              <w:spacing w:before="30" w:line="230" w:lineRule="auto"/>
              <w:ind w:right="112"/>
              <w:rPr>
                <w:rFonts w:ascii="宋体" w:hAnsi="宋体" w:eastAsia="宋体" w:cs="宋体"/>
                <w:sz w:val="21"/>
                <w:szCs w:val="21"/>
              </w:rPr>
            </w:pPr>
            <w:r>
              <w:rPr>
                <w:rFonts w:ascii="宋体" w:hAnsi="宋体" w:eastAsia="宋体" w:cs="宋体"/>
                <w:sz w:val="21"/>
                <w:szCs w:val="21"/>
              </w:rPr>
              <w:t>5.具备教学资源管理的上传、共享、下载等功能。</w:t>
            </w:r>
          </w:p>
          <w:p w14:paraId="4E6C2174">
            <w:pPr>
              <w:spacing w:before="30" w:line="230" w:lineRule="auto"/>
              <w:ind w:right="112"/>
              <w:rPr>
                <w:rFonts w:ascii="宋体" w:hAnsi="宋体" w:eastAsia="宋体" w:cs="宋体"/>
                <w:sz w:val="21"/>
                <w:szCs w:val="21"/>
              </w:rPr>
            </w:pPr>
            <w:r>
              <w:rPr>
                <w:rFonts w:ascii="宋体" w:hAnsi="宋体" w:eastAsia="宋体" w:cs="宋体"/>
                <w:sz w:val="21"/>
                <w:szCs w:val="21"/>
              </w:rPr>
              <w:t>6.具备对试题库进行管理，包括添加、修改、删除、查询、浏览等功能。</w:t>
            </w:r>
          </w:p>
          <w:p w14:paraId="285A579B">
            <w:pPr>
              <w:spacing w:before="30" w:line="230" w:lineRule="auto"/>
              <w:ind w:right="112"/>
              <w:rPr>
                <w:rFonts w:ascii="宋体" w:hAnsi="宋体" w:eastAsia="宋体" w:cs="宋体"/>
                <w:sz w:val="21"/>
                <w:szCs w:val="21"/>
              </w:rPr>
            </w:pPr>
            <w:r>
              <w:rPr>
                <w:rFonts w:ascii="宋体" w:hAnsi="宋体" w:eastAsia="宋体" w:cs="宋体"/>
                <w:sz w:val="21"/>
                <w:szCs w:val="21"/>
              </w:rPr>
              <w:t>7.具备手动创建作业、从作业库中选择已创建好的作业、导入作业、从教学资源库中添加作业；支持作业发布、作业预警、自动批阅、手动批阅、作业打回等功能。</w:t>
            </w:r>
          </w:p>
          <w:p w14:paraId="42589A42">
            <w:pPr>
              <w:spacing w:before="30" w:line="230" w:lineRule="auto"/>
              <w:ind w:right="112"/>
              <w:rPr>
                <w:rFonts w:ascii="宋体" w:hAnsi="宋体" w:eastAsia="宋体" w:cs="宋体"/>
                <w:sz w:val="21"/>
                <w:szCs w:val="21"/>
              </w:rPr>
            </w:pPr>
            <w:r>
              <w:rPr>
                <w:rFonts w:ascii="宋体" w:hAnsi="宋体" w:eastAsia="宋体" w:cs="宋体"/>
                <w:sz w:val="21"/>
                <w:szCs w:val="21"/>
              </w:rPr>
              <w:t>8.具备手动创建试卷、自动随机组卷、导入试卷、选择已创建好的试卷。</w:t>
            </w:r>
          </w:p>
          <w:p w14:paraId="33A5EAF5">
            <w:pPr>
              <w:spacing w:before="30" w:line="230" w:lineRule="auto"/>
              <w:ind w:right="112"/>
              <w:rPr>
                <w:rFonts w:ascii="宋体" w:hAnsi="宋体" w:eastAsia="宋体" w:cs="宋体"/>
                <w:sz w:val="21"/>
                <w:szCs w:val="21"/>
              </w:rPr>
            </w:pPr>
            <w:r>
              <w:rPr>
                <w:rFonts w:ascii="宋体" w:hAnsi="宋体" w:eastAsia="宋体" w:cs="宋体"/>
                <w:sz w:val="21"/>
                <w:szCs w:val="21"/>
              </w:rPr>
              <w:t>9.具备多个讨论区，学生和教师可以在某个讨论区中开展话题讨论。</w:t>
            </w:r>
          </w:p>
          <w:p w14:paraId="101B3788">
            <w:pPr>
              <w:spacing w:before="30" w:line="230" w:lineRule="auto"/>
              <w:ind w:right="112"/>
              <w:rPr>
                <w:rFonts w:ascii="宋体" w:hAnsi="宋体" w:eastAsia="宋体" w:cs="宋体"/>
                <w:sz w:val="21"/>
                <w:szCs w:val="21"/>
              </w:rPr>
            </w:pPr>
            <w:r>
              <w:rPr>
                <w:rFonts w:ascii="宋体" w:hAnsi="宋体" w:eastAsia="宋体" w:cs="宋体"/>
                <w:sz w:val="21"/>
                <w:szCs w:val="21"/>
              </w:rPr>
              <w:t>10.具备知识图谱构建、管理、展示、应用、统计。</w:t>
            </w:r>
          </w:p>
          <w:p w14:paraId="566A2C7F">
            <w:pPr>
              <w:spacing w:before="30" w:line="230" w:lineRule="auto"/>
              <w:ind w:right="112"/>
              <w:rPr>
                <w:rFonts w:hint="eastAsia" w:ascii="宋体" w:hAnsi="宋体" w:eastAsia="宋体" w:cs="宋体"/>
                <w:sz w:val="21"/>
                <w:szCs w:val="21"/>
                <w:lang w:val="en-US" w:eastAsia="zh-CN"/>
              </w:rPr>
            </w:pPr>
            <w:r>
              <w:rPr>
                <w:rFonts w:ascii="宋体" w:hAnsi="宋体" w:eastAsia="宋体" w:cs="宋体"/>
                <w:sz w:val="21"/>
                <w:szCs w:val="21"/>
              </w:rPr>
              <w:t>(三)在线考试系统</w:t>
            </w:r>
            <w:r>
              <w:rPr>
                <w:rFonts w:hint="eastAsia" w:ascii="宋体" w:hAnsi="宋体" w:eastAsia="宋体" w:cs="宋体"/>
                <w:sz w:val="21"/>
                <w:szCs w:val="21"/>
                <w:lang w:val="en-US" w:eastAsia="zh-CN"/>
              </w:rPr>
              <w:t>模块</w:t>
            </w:r>
          </w:p>
          <w:p w14:paraId="728D5F82">
            <w:pPr>
              <w:spacing w:before="30" w:line="230" w:lineRule="auto"/>
              <w:ind w:right="112"/>
              <w:rPr>
                <w:rFonts w:ascii="宋体" w:hAnsi="宋体" w:eastAsia="宋体" w:cs="宋体"/>
                <w:sz w:val="21"/>
                <w:szCs w:val="21"/>
              </w:rPr>
            </w:pPr>
            <w:r>
              <w:rPr>
                <w:rFonts w:ascii="宋体" w:hAnsi="宋体" w:eastAsia="宋体" w:cs="宋体"/>
                <w:sz w:val="21"/>
                <w:szCs w:val="21"/>
              </w:rPr>
              <w:t>1.具备题库分类、建设任务指派、题库加密、题型自定义、试题导入、智能识别、试题一键导出等功能。</w:t>
            </w:r>
          </w:p>
          <w:p w14:paraId="1CB2283D">
            <w:pPr>
              <w:spacing w:before="30" w:line="230" w:lineRule="auto"/>
              <w:ind w:right="112"/>
              <w:rPr>
                <w:rFonts w:ascii="宋体" w:hAnsi="宋体" w:eastAsia="宋体" w:cs="宋体"/>
                <w:sz w:val="21"/>
                <w:szCs w:val="21"/>
              </w:rPr>
            </w:pPr>
            <w:r>
              <w:rPr>
                <w:rFonts w:ascii="宋体" w:hAnsi="宋体" w:eastAsia="宋体" w:cs="宋体"/>
                <w:sz w:val="21"/>
                <w:szCs w:val="21"/>
              </w:rPr>
              <w:t>2.具备智能组卷、手动组卷、智能导入、试卷封存、试卷编辑、试卷导出、试卷审核、听力题支持设置音频播放次数等。</w:t>
            </w:r>
          </w:p>
          <w:p w14:paraId="230DFB02">
            <w:pPr>
              <w:spacing w:before="30" w:line="230" w:lineRule="auto"/>
              <w:ind w:right="112"/>
              <w:rPr>
                <w:rFonts w:ascii="宋体" w:hAnsi="宋体" w:eastAsia="宋体" w:cs="宋体"/>
                <w:sz w:val="21"/>
                <w:szCs w:val="21"/>
              </w:rPr>
            </w:pPr>
            <w:r>
              <w:rPr>
                <w:rFonts w:ascii="宋体" w:hAnsi="宋体" w:eastAsia="宋体" w:cs="宋体"/>
                <w:sz w:val="21"/>
                <w:szCs w:val="21"/>
              </w:rPr>
              <w:t>3.具备多种方式选择考生及发放考试通知、人脸采集照片通知等功能。</w:t>
            </w:r>
          </w:p>
          <w:p w14:paraId="28C614A7">
            <w:pPr>
              <w:spacing w:before="30" w:line="230" w:lineRule="auto"/>
              <w:ind w:right="112"/>
              <w:rPr>
                <w:rFonts w:ascii="宋体" w:hAnsi="宋体" w:eastAsia="宋体" w:cs="宋体"/>
                <w:sz w:val="21"/>
                <w:szCs w:val="21"/>
              </w:rPr>
            </w:pPr>
            <w:r>
              <w:rPr>
                <w:rFonts w:ascii="宋体" w:hAnsi="宋体" w:eastAsia="宋体" w:cs="宋体"/>
                <w:sz w:val="21"/>
                <w:szCs w:val="21"/>
              </w:rPr>
              <w:t>4.具备在线监考、分组监考、移动端监考、通知题型、强制收卷、人脸识别、屏幕异常识别、切屏监控、查看考生详情、标记考生、提醒考生、手动抓拍、直播监控、异常分析、监考导出等功能。</w:t>
            </w:r>
          </w:p>
          <w:p w14:paraId="6455D2BD">
            <w:pPr>
              <w:spacing w:before="30" w:line="230" w:lineRule="auto"/>
              <w:ind w:right="112"/>
              <w:rPr>
                <w:rFonts w:ascii="宋体" w:hAnsi="宋体" w:eastAsia="宋体" w:cs="宋体"/>
                <w:sz w:val="21"/>
                <w:szCs w:val="21"/>
              </w:rPr>
            </w:pPr>
            <w:r>
              <w:rPr>
                <w:rFonts w:ascii="宋体" w:hAnsi="宋体" w:eastAsia="宋体" w:cs="宋体"/>
                <w:sz w:val="21"/>
                <w:szCs w:val="21"/>
              </w:rPr>
              <w:t>5.具备阅卷过程中在线批注、流水判卷、试卷导出等功能。</w:t>
            </w:r>
          </w:p>
          <w:p w14:paraId="41764FAC">
            <w:pPr>
              <w:spacing w:before="30" w:line="230" w:lineRule="auto"/>
              <w:ind w:right="112"/>
              <w:rPr>
                <w:rFonts w:ascii="宋体" w:hAnsi="宋体" w:eastAsia="宋体" w:cs="宋体"/>
                <w:sz w:val="21"/>
                <w:szCs w:val="21"/>
              </w:rPr>
            </w:pPr>
            <w:r>
              <w:rPr>
                <w:rFonts w:ascii="宋体" w:hAnsi="宋体" w:eastAsia="宋体" w:cs="宋体"/>
                <w:sz w:val="21"/>
                <w:szCs w:val="21"/>
              </w:rPr>
              <w:t>6.具备综合统计、题库统计、考试统计、考试分析、考试报告等试卷统计分析功能。</w:t>
            </w:r>
          </w:p>
          <w:p w14:paraId="1E38914A">
            <w:pPr>
              <w:spacing w:before="30" w:line="230" w:lineRule="auto"/>
              <w:ind w:right="112"/>
              <w:rPr>
                <w:rFonts w:hint="eastAsia" w:ascii="宋体" w:hAnsi="宋体" w:eastAsia="宋体" w:cs="宋体"/>
                <w:sz w:val="21"/>
                <w:szCs w:val="21"/>
                <w:lang w:val="en-US" w:eastAsia="zh-CN"/>
              </w:rPr>
            </w:pPr>
            <w:r>
              <w:rPr>
                <w:rFonts w:ascii="宋体" w:hAnsi="宋体" w:eastAsia="宋体" w:cs="宋体"/>
                <w:sz w:val="21"/>
                <w:szCs w:val="21"/>
              </w:rPr>
              <w:t>(四)在线课堂</w:t>
            </w:r>
            <w:r>
              <w:rPr>
                <w:rFonts w:hint="eastAsia" w:ascii="宋体" w:hAnsi="宋体" w:eastAsia="宋体" w:cs="宋体"/>
                <w:sz w:val="21"/>
                <w:szCs w:val="21"/>
                <w:lang w:val="en-US" w:eastAsia="zh-CN"/>
              </w:rPr>
              <w:t>模块</w:t>
            </w:r>
          </w:p>
          <w:p w14:paraId="1D9F2A63">
            <w:pPr>
              <w:spacing w:before="30" w:line="230" w:lineRule="auto"/>
              <w:ind w:right="112"/>
              <w:rPr>
                <w:rFonts w:ascii="宋体" w:hAnsi="宋体" w:eastAsia="宋体" w:cs="宋体"/>
                <w:sz w:val="21"/>
                <w:szCs w:val="21"/>
              </w:rPr>
            </w:pPr>
            <w:r>
              <w:rPr>
                <w:rFonts w:ascii="宋体" w:hAnsi="宋体" w:eastAsia="宋体" w:cs="宋体"/>
                <w:sz w:val="21"/>
                <w:szCs w:val="21"/>
              </w:rPr>
              <w:t>1.具备多种签到方式，具有多种题型的随堂练习、针对某一主题进行分组讨论并生成高频词快速总结观点、设置抢答、了解学生想法的问卷、可就某一话题展开群聊、教师可在白板上手动书写笔记等功能。</w:t>
            </w:r>
          </w:p>
          <w:p w14:paraId="54277257">
            <w:pPr>
              <w:spacing w:before="30" w:line="230" w:lineRule="auto"/>
              <w:ind w:right="112"/>
              <w:rPr>
                <w:rFonts w:ascii="宋体" w:hAnsi="宋体" w:eastAsia="宋体" w:cs="宋体"/>
                <w:sz w:val="21"/>
                <w:szCs w:val="21"/>
              </w:rPr>
            </w:pPr>
            <w:r>
              <w:rPr>
                <w:rFonts w:ascii="宋体" w:hAnsi="宋体" w:eastAsia="宋体" w:cs="宋体"/>
                <w:sz w:val="21"/>
                <w:szCs w:val="21"/>
              </w:rPr>
              <w:t>2.具有共享屏幕功能，支持多种格式的文档资料，支持课堂聊天、云端实时直播、发起课堂、进入课堂、离开/结束课堂、录制回放、旁听模式等功能。</w:t>
            </w:r>
          </w:p>
          <w:p w14:paraId="03529BEB">
            <w:pPr>
              <w:spacing w:before="30" w:line="230" w:lineRule="auto"/>
              <w:ind w:right="112"/>
              <w:rPr>
                <w:rFonts w:ascii="宋体" w:hAnsi="宋体" w:eastAsia="宋体" w:cs="宋体"/>
                <w:sz w:val="21"/>
                <w:szCs w:val="21"/>
              </w:rPr>
            </w:pPr>
            <w:r>
              <w:rPr>
                <w:rFonts w:ascii="宋体" w:hAnsi="宋体" w:eastAsia="宋体" w:cs="宋体"/>
                <w:sz w:val="21"/>
                <w:szCs w:val="21"/>
              </w:rPr>
              <w:t>3.共享屏幕：桌面和移动端均可共享，可共享声音、桌面画面等，可共享整个桌面画面，也可仅选择一个页面进行共享，例如浏览器页面、PPT等。若选择共享整个桌面的画面，还可使用画中画模式，实现既共享桌面又分享老师端摄像头视频的效果。</w:t>
            </w:r>
          </w:p>
          <w:p w14:paraId="13CE501F">
            <w:pPr>
              <w:spacing w:before="30" w:line="230" w:lineRule="auto"/>
              <w:ind w:right="112"/>
              <w:rPr>
                <w:rFonts w:ascii="宋体" w:hAnsi="宋体" w:eastAsia="宋体" w:cs="宋体"/>
                <w:sz w:val="21"/>
                <w:szCs w:val="21"/>
              </w:rPr>
            </w:pPr>
            <w:r>
              <w:rPr>
                <w:rFonts w:ascii="宋体" w:hAnsi="宋体" w:eastAsia="宋体" w:cs="宋体"/>
                <w:sz w:val="21"/>
                <w:szCs w:val="21"/>
              </w:rPr>
              <w:t>4.多屏互动</w:t>
            </w:r>
          </w:p>
          <w:p w14:paraId="0E1C3C2D">
            <w:pPr>
              <w:spacing w:before="30" w:line="230" w:lineRule="auto"/>
              <w:ind w:left="91" w:right="112" w:firstLine="30"/>
              <w:rPr>
                <w:rFonts w:ascii="宋体" w:hAnsi="宋体" w:eastAsia="宋体" w:cs="宋体"/>
                <w:sz w:val="21"/>
                <w:szCs w:val="21"/>
              </w:rPr>
            </w:pPr>
            <w:r>
              <w:rPr>
                <w:rFonts w:ascii="宋体" w:hAnsi="宋体" w:eastAsia="宋体" w:cs="宋体"/>
                <w:sz w:val="21"/>
                <w:szCs w:val="21"/>
              </w:rPr>
              <w:t>1)共享本机屏幕：共享时，可选择共享桌面，也可选择单一 浏览器、PPT等其他软件窗口，支持选择是否开启画中画、 同时共享电脑声音：支持将授课设备屏幕或窗口共享给侧</w:t>
            </w:r>
          </w:p>
          <w:p w14:paraId="6E2338A3">
            <w:pPr>
              <w:spacing w:before="30" w:line="230" w:lineRule="auto"/>
              <w:ind w:left="91" w:right="112" w:firstLine="30"/>
              <w:rPr>
                <w:rFonts w:ascii="宋体" w:hAnsi="宋体" w:eastAsia="宋体" w:cs="宋体"/>
                <w:sz w:val="21"/>
                <w:szCs w:val="21"/>
              </w:rPr>
            </w:pPr>
            <w:r>
              <w:rPr>
                <w:rFonts w:ascii="宋体" w:hAnsi="宋体" w:eastAsia="宋体" w:cs="宋体"/>
                <w:sz w:val="21"/>
                <w:szCs w:val="21"/>
              </w:rPr>
              <w:t>屏、学生设备、线上课堂内成员。</w:t>
            </w:r>
          </w:p>
          <w:p w14:paraId="4D80EDB8">
            <w:pPr>
              <w:spacing w:before="30" w:line="230" w:lineRule="auto"/>
              <w:ind w:left="91" w:right="112" w:firstLine="30"/>
              <w:rPr>
                <w:rFonts w:ascii="宋体" w:hAnsi="宋体" w:eastAsia="宋体" w:cs="宋体"/>
                <w:sz w:val="21"/>
                <w:szCs w:val="21"/>
              </w:rPr>
            </w:pPr>
            <w:r>
              <w:rPr>
                <w:rFonts w:ascii="宋体" w:hAnsi="宋体" w:eastAsia="宋体" w:cs="宋体"/>
                <w:sz w:val="21"/>
                <w:szCs w:val="21"/>
              </w:rPr>
              <w:t>2)共享学生设备：支持同时选择最多6位学生，将学生屏幕展示到授课电脑或大屏上，学生屏幕包含移动设备、pad、 Windows电脑、Mac:支持多学生屏幕以宫格视图展示和一位  学生屏幕放大展示两种视图切换：教师可控制是否投屏学生  设备声音及关闭学生屏幕共享</w:t>
            </w:r>
            <w:r>
              <w:rPr>
                <w:rFonts w:ascii="宋体" w:hAnsi="宋体" w:eastAsia="宋体" w:cs="宋体"/>
                <w:spacing w:val="1"/>
                <w:sz w:val="21"/>
                <w:szCs w:val="21"/>
              </w:rPr>
              <w:t>。</w:t>
            </w:r>
          </w:p>
          <w:p w14:paraId="77543194">
            <w:pPr>
              <w:spacing w:before="20" w:line="233" w:lineRule="auto"/>
              <w:ind w:left="112" w:right="106" w:firstLine="49"/>
              <w:rPr>
                <w:rFonts w:ascii="宋体" w:hAnsi="宋体" w:eastAsia="宋体" w:cs="宋体"/>
                <w:sz w:val="21"/>
                <w:szCs w:val="21"/>
              </w:rPr>
            </w:pPr>
            <w:r>
              <w:rPr>
                <w:rFonts w:ascii="宋体" w:hAnsi="宋体" w:eastAsia="宋体" w:cs="宋体"/>
                <w:spacing w:val="1"/>
                <w:sz w:val="21"/>
                <w:szCs w:val="21"/>
              </w:rPr>
              <w:t>3)小组侧屏展示：支持同时展示最多6个侧屏屏幕</w:t>
            </w:r>
            <w:r>
              <w:rPr>
                <w:rFonts w:ascii="宋体" w:hAnsi="宋体" w:eastAsia="宋体" w:cs="宋体"/>
                <w:sz w:val="21"/>
                <w:szCs w:val="21"/>
              </w:rPr>
              <w:t>，侧屏系统支 持Windows、Android,支持以宫格视图展示多个侧屏和</w:t>
            </w:r>
            <w:r>
              <w:rPr>
                <w:rFonts w:ascii="宋体" w:hAnsi="宋体" w:eastAsia="宋体" w:cs="宋体"/>
                <w:spacing w:val="16"/>
                <w:sz w:val="21"/>
                <w:szCs w:val="21"/>
              </w:rPr>
              <w:t xml:space="preserve"> </w:t>
            </w:r>
            <w:r>
              <w:rPr>
                <w:rFonts w:ascii="宋体" w:hAnsi="宋体" w:eastAsia="宋体" w:cs="宋体"/>
                <w:spacing w:val="-1"/>
                <w:sz w:val="21"/>
                <w:szCs w:val="21"/>
              </w:rPr>
              <w:t>一个侧屏放大展示两种视图切换：教师可控制是否投屏小组</w:t>
            </w:r>
            <w:r>
              <w:rPr>
                <w:rFonts w:ascii="宋体" w:hAnsi="宋体" w:eastAsia="宋体" w:cs="宋体"/>
                <w:spacing w:val="13"/>
                <w:sz w:val="21"/>
                <w:szCs w:val="21"/>
              </w:rPr>
              <w:t xml:space="preserve"> </w:t>
            </w:r>
            <w:r>
              <w:rPr>
                <w:rFonts w:ascii="宋体" w:hAnsi="宋体" w:eastAsia="宋体" w:cs="宋体"/>
                <w:spacing w:val="-1"/>
                <w:sz w:val="21"/>
                <w:szCs w:val="21"/>
              </w:rPr>
              <w:t>侧屏声音及关闭侧屏屏幕共享。</w:t>
            </w:r>
          </w:p>
          <w:p w14:paraId="622783E3">
            <w:pPr>
              <w:spacing w:before="21" w:line="219" w:lineRule="auto"/>
              <w:rPr>
                <w:rFonts w:ascii="宋体" w:hAnsi="宋体" w:eastAsia="宋体" w:cs="宋体"/>
                <w:sz w:val="21"/>
                <w:szCs w:val="21"/>
              </w:rPr>
            </w:pPr>
            <w:r>
              <w:rPr>
                <w:rFonts w:ascii="宋体" w:hAnsi="宋体" w:eastAsia="宋体" w:cs="宋体"/>
                <w:spacing w:val="-1"/>
                <w:sz w:val="21"/>
                <w:szCs w:val="21"/>
              </w:rPr>
              <w:t>5.具备进入课堂的各角色的操作功能。</w:t>
            </w:r>
          </w:p>
          <w:p w14:paraId="7FFCF815">
            <w:pPr>
              <w:spacing w:before="32" w:line="210" w:lineRule="auto"/>
              <w:rPr>
                <w:rFonts w:ascii="宋体" w:hAnsi="宋体" w:eastAsia="宋体" w:cs="宋体"/>
                <w:sz w:val="21"/>
                <w:szCs w:val="21"/>
              </w:rPr>
            </w:pPr>
            <w:r>
              <w:rPr>
                <w:rFonts w:ascii="宋体" w:hAnsi="宋体" w:eastAsia="宋体" w:cs="宋体"/>
                <w:sz w:val="21"/>
                <w:szCs w:val="21"/>
              </w:rPr>
              <w:t>(五)大数据分析系统</w:t>
            </w:r>
          </w:p>
          <w:p w14:paraId="704C4C1E">
            <w:pPr>
              <w:spacing w:before="20" w:line="233" w:lineRule="auto"/>
              <w:ind w:right="106"/>
              <w:rPr>
                <w:rFonts w:ascii="宋体" w:hAnsi="宋体" w:eastAsia="宋体" w:cs="宋体"/>
                <w:spacing w:val="-1"/>
                <w:sz w:val="21"/>
                <w:szCs w:val="21"/>
              </w:rPr>
            </w:pPr>
            <w:r>
              <w:rPr>
                <w:rFonts w:ascii="宋体" w:hAnsi="宋体" w:eastAsia="宋体" w:cs="宋体"/>
                <w:spacing w:val="-1"/>
                <w:sz w:val="21"/>
                <w:szCs w:val="21"/>
              </w:rPr>
              <w:t>能统计教师资源上传量、课程活动数量、学生签到率、师生活跃情况、课程及师生的实时动态等。</w:t>
            </w:r>
          </w:p>
          <w:p w14:paraId="554C6792">
            <w:pPr>
              <w:spacing w:before="20" w:line="233" w:lineRule="auto"/>
              <w:ind w:right="106"/>
              <w:rPr>
                <w:rFonts w:ascii="宋体" w:hAnsi="宋体" w:eastAsia="宋体" w:cs="宋体"/>
                <w:spacing w:val="-1"/>
                <w:sz w:val="21"/>
                <w:szCs w:val="21"/>
              </w:rPr>
            </w:pPr>
            <w:r>
              <w:rPr>
                <w:rFonts w:ascii="宋体" w:hAnsi="宋体" w:eastAsia="宋体" w:cs="宋体"/>
                <w:spacing w:val="-1"/>
                <w:sz w:val="21"/>
                <w:szCs w:val="21"/>
              </w:rPr>
              <w:t>(六)AI智能体</w:t>
            </w:r>
          </w:p>
          <w:p w14:paraId="08D8B478">
            <w:pPr>
              <w:spacing w:before="20" w:line="233" w:lineRule="auto"/>
              <w:ind w:right="106"/>
              <w:rPr>
                <w:rFonts w:ascii="宋体" w:hAnsi="宋体" w:eastAsia="宋体" w:cs="宋体"/>
                <w:spacing w:val="-1"/>
                <w:sz w:val="21"/>
                <w:szCs w:val="21"/>
              </w:rPr>
            </w:pPr>
            <w:r>
              <w:rPr>
                <w:rFonts w:ascii="宋体" w:hAnsi="宋体" w:eastAsia="宋体" w:cs="宋体"/>
                <w:spacing w:val="-1"/>
                <w:sz w:val="21"/>
                <w:szCs w:val="21"/>
              </w:rPr>
              <w:t>支持在线政策咨询、课程学习、智能答疑、助教(如AI出题、 AI教案、AI课件、AI批阅等)。</w:t>
            </w:r>
          </w:p>
          <w:p w14:paraId="20C19F10">
            <w:pPr>
              <w:spacing w:before="20" w:line="233" w:lineRule="auto"/>
              <w:ind w:right="106"/>
              <w:rPr>
                <w:rFonts w:ascii="宋体" w:hAnsi="宋体" w:eastAsia="宋体" w:cs="宋体"/>
                <w:spacing w:val="-1"/>
                <w:sz w:val="21"/>
                <w:szCs w:val="21"/>
              </w:rPr>
            </w:pPr>
            <w:r>
              <w:rPr>
                <w:rFonts w:ascii="宋体" w:hAnsi="宋体" w:eastAsia="宋体" w:cs="宋体"/>
                <w:spacing w:val="-1"/>
                <w:sz w:val="21"/>
                <w:szCs w:val="21"/>
              </w:rPr>
              <w:t>1.基础管理</w:t>
            </w:r>
          </w:p>
          <w:p w14:paraId="2096E869">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(1)一个单位支持添加多个机器人；每个机器人均可分配对应管理员单独管理；支持开启黑名单功能；支持自定义配置通知公告，公告支持图文、附件、链接等多种内容；支持自定义配置常见问题，常见问题的数据支持自定义或来源问答库； 支持自定义配置热门应用和顶部标签；</w:t>
            </w:r>
          </w:p>
          <w:p w14:paraId="7AD19ACC">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(2)技能设置中支持阈值自定义；支持自定义设置欢迎语；支持微应用智能推荐和问题联想；支持设置多轮轮数，最多可调整为10轮；</w:t>
            </w:r>
          </w:p>
          <w:p w14:paraId="2E0D98BC">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(3)支持上传单位logo;支持设置卡通人形象；支持开启转人工设置，并且可进行转人工的触发设置，支持设置关键词逻 辑转人工；</w:t>
            </w:r>
          </w:p>
          <w:p w14:paraId="6248C4BF">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(4)支持留言设置，可选择留言回复方式是邮箱还是手机；支持针对未知问题、敏感词拦截设置回复语；支持独立APP、 PC端、微信端多渠道接入；支持前后台对话大模型切换，包  含两种及以上大模型类型可选。</w:t>
            </w:r>
          </w:p>
          <w:p w14:paraId="6A24C5BC">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2.知识库管理</w:t>
            </w:r>
          </w:p>
          <w:p w14:paraId="6A2353C0">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(1)支持自定义添加、编辑、删除业务问答分类，分类数量无限制；问答分类支持批量编辑，可以移动和拖拽排序；支持自定义添加、编辑、删除、批量导入、批量导出、批量删除业务问答规则，业务问答规则数量无限制；支持手工启用、手工停用业务问答规则，同时可根据关键词、状态、创建人  和来源搜索业务内容；</w:t>
            </w:r>
          </w:p>
          <w:p w14:paraId="4EEEB0FF">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(2)业务问答规则中，回答的答案支持文本、图片、附件、自定义级联菜单、图文混排、链接等多种内容；支持添加相似问题，前台问答时可根据相似问题进行答案回复；支持关联应用，前台回答问题后同步回复相关应用，可直接进入该应用进行相关操作；支持关联文档，问答时可根据关联文档标签进行问答提示；</w:t>
            </w:r>
          </w:p>
          <w:p w14:paraId="75D4E145">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(3)支持自定义添加、编辑业务问答中问题标签，问答时可根据标签进行问答提示；支持自定义添加、编辑、删除知识库分类，分类数量无限制；知识库分类支持批量编辑，可以移动和拖拽排序；支持自定义添加、编辑、预览、批量下载、 批量移动；批量删除文档，文档支持txt,doc/docx,pdf,ppt, pptx,xlsx,xls格式以及常规视频格式；</w:t>
            </w:r>
          </w:p>
          <w:p w14:paraId="357C997B">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(4)支持手工启用、手工停用查看源文件，同时可根据关键词、 状态、来源、日期范围和创建人搜索文件内容；支持用户手  动上传文档至问答库，上传后系统可对上传的文档进行解析， 解析后可智能回答文档相关问题；</w:t>
            </w:r>
          </w:p>
          <w:p w14:paraId="7695BA3F">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(5)支持新建多级应用库分类，分类数量无限制。支持关键词和状态筛选应用，状态筛选包括全部、启用、停用三种状态</w:t>
            </w:r>
            <w:r>
              <w:rPr>
                <w:rFonts w:hint="eastAsia" w:ascii="宋体" w:hAnsi="宋体" w:eastAsia="宋体" w:cs="宋体"/>
                <w:spacing w:val="-1"/>
                <w:sz w:val="21"/>
                <w:szCs w:val="21"/>
                <w:lang w:eastAsia="zh-CN"/>
              </w:rPr>
              <w:t>；</w:t>
            </w:r>
            <w:r>
              <w:rPr>
                <w:rFonts w:ascii="宋体" w:hAnsi="宋体" w:eastAsia="宋体" w:cs="宋体"/>
                <w:spacing w:val="-1"/>
                <w:sz w:val="21"/>
                <w:szCs w:val="21"/>
              </w:rPr>
              <w:t>支持自定义添加、编辑、删除插件，且数量无限制；</w:t>
            </w:r>
          </w:p>
          <w:p w14:paraId="51B17910">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(6)支持自定义新建、编辑任务流，任务流数量无限制。也支持单个或批量删除、启用、停用任务流，启用后，前台问 答根据设定流程答复；支持切换旧版/新版任务流；支持关键 词检索任务流；</w:t>
            </w:r>
          </w:p>
          <w:p w14:paraId="65E4D35F">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(7)任务流编辑中，支持设定功能节点，至少包含代码、条件选择器以及知识库等5种功能节点，可自由拖拽排布任务流； 支持设定交互节点，至少包含动态选项、问答以及静态选项  等3种交互节点，可自由拖拽排布任务流；支持设定大模型， 包含大模型变量赋值和大模型生成等；</w:t>
            </w:r>
          </w:p>
          <w:p w14:paraId="265397E0">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(8)任务流编辑中，支持设定消息节点，可自由拖拽排布任务流；支持使用功能节点、交互节点、大模型和消息节点自定 义任务流程，发布后前台问答按照设定任务流程答复；支持 试运行，进行流程配置检查；</w:t>
            </w:r>
          </w:p>
          <w:p w14:paraId="2348899B">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(9)机器人可自动对没有答案的问题进行关键词识别并统计聚类，按照关键词问答频率由高到低排序，同时可以编辑、删 除、批量导出以及清空未知问题；支持智能学习功能，根据 用户行为自动记录待学习问题，超级管理员可进行一键学习 或 一键通过；</w:t>
            </w:r>
          </w:p>
          <w:p w14:paraId="12C7B1E4">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(10)支持手工添加未知问题到业务问答规则，并支持自定义修改；支持设置是否直接由系统大模型进行前台问答回复。</w:t>
            </w:r>
          </w:p>
          <w:p w14:paraId="525E28A8">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3、智能客服</w:t>
            </w:r>
          </w:p>
          <w:p w14:paraId="099A2A8A">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1.具备自定义添加、编辑、删除业务问答分类；支持自定义添加、编辑、删除、批量导入、批量导出、批量删除业务问 答规则；支持手工启用、手工停用业务问答规则；</w:t>
            </w:r>
          </w:p>
          <w:p w14:paraId="6F44988A">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2.支持配置人工客服账号，支持开启转人工设置，并且可进行设置转人工的触发设置，支持设置关键词逻辑转人工。实 现用户可以寻求人工客服支持。</w:t>
            </w:r>
          </w:p>
          <w:p w14:paraId="0601C87A">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3.具备手工添加未知问题到业务问答规则；支持根据用户输入问题进行匹配提示。</w:t>
            </w:r>
          </w:p>
          <w:p w14:paraId="755C1653">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4.具备知识问答，内置知识图谱，可以回答常识类问题等。</w:t>
            </w:r>
          </w:p>
          <w:p w14:paraId="1EC9414C">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5.具备查询图书、期刊等文献。</w:t>
            </w:r>
          </w:p>
          <w:p w14:paraId="74CC5B51">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6.具备根据用户输入问题进行匹配提示、支持未知问题回复语自定义、支持欢迎语自定义等。</w:t>
            </w:r>
          </w:p>
          <w:p w14:paraId="2BAE342A">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7.具备自定义添加多位机器人进行不同问答库。</w:t>
            </w:r>
          </w:p>
          <w:p w14:paraId="2EB157E4">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(七)网络知识图谱课程及资源</w:t>
            </w:r>
          </w:p>
          <w:p w14:paraId="70816BA0">
            <w:pPr>
              <w:spacing w:before="20" w:line="233" w:lineRule="auto"/>
              <w:ind w:left="112" w:right="106" w:firstLine="49"/>
              <w:rPr>
                <w:rFonts w:ascii="宋体" w:hAnsi="宋体" w:eastAsia="宋体" w:cs="宋体"/>
                <w:b/>
                <w:bCs/>
                <w:spacing w:val="-1"/>
                <w:sz w:val="21"/>
                <w:szCs w:val="21"/>
              </w:rPr>
            </w:pPr>
            <w:r>
              <w:rPr>
                <w:rFonts w:ascii="宋体" w:hAnsi="宋体" w:eastAsia="宋体" w:cs="宋体"/>
                <w:spacing w:val="-1"/>
                <w:sz w:val="21"/>
                <w:szCs w:val="21"/>
              </w:rPr>
              <w:t>1.平台中自带课程资源，包含不低于15门通识类或人工智能类课程供采购人作为选修课程。</w:t>
            </w:r>
            <w:r>
              <w:rPr>
                <w:rFonts w:ascii="宋体" w:hAnsi="宋体" w:eastAsia="宋体" w:cs="宋体"/>
                <w:b/>
                <w:bCs/>
                <w:spacing w:val="-1"/>
                <w:sz w:val="21"/>
                <w:szCs w:val="21"/>
              </w:rPr>
              <w:t>(报价时须提供课程清单并加盖报价人公章，未提供或提供不全则视为报价无效)。</w:t>
            </w:r>
          </w:p>
          <w:p w14:paraId="417EB038">
            <w:pPr>
              <w:spacing w:before="20" w:line="233" w:lineRule="auto"/>
              <w:ind w:left="112" w:right="106" w:firstLine="49"/>
              <w:rPr>
                <w:rFonts w:ascii="宋体" w:hAnsi="宋体" w:eastAsia="宋体" w:cs="宋体"/>
                <w:b/>
                <w:bCs/>
                <w:spacing w:val="-1"/>
                <w:sz w:val="21"/>
                <w:szCs w:val="21"/>
              </w:rPr>
            </w:pPr>
            <w:r>
              <w:rPr>
                <w:rFonts w:ascii="宋体" w:hAnsi="宋体" w:eastAsia="宋体" w:cs="宋体"/>
                <w:spacing w:val="-1"/>
                <w:sz w:val="21"/>
                <w:szCs w:val="21"/>
              </w:rPr>
              <w:t>2.提供我校学历继续教育各专业所开课程</w:t>
            </w:r>
            <w:r>
              <w:rPr>
                <w:rFonts w:ascii="宋体" w:hAnsi="宋体" w:eastAsia="宋体" w:cs="宋体"/>
                <w:b/>
                <w:bCs/>
                <w:spacing w:val="-1"/>
                <w:sz w:val="21"/>
                <w:szCs w:val="21"/>
                <w:highlight w:val="none"/>
              </w:rPr>
              <w:t>(目录详见附件：课程目录)</w:t>
            </w:r>
            <w:r>
              <w:rPr>
                <w:rFonts w:ascii="宋体" w:hAnsi="宋体" w:eastAsia="宋体" w:cs="宋体"/>
                <w:spacing w:val="-1"/>
                <w:sz w:val="21"/>
                <w:szCs w:val="21"/>
              </w:rPr>
              <w:t>90%以上的网络教学资源，并免费提供教学资源的更新服务</w:t>
            </w:r>
            <w:r>
              <w:rPr>
                <w:rFonts w:ascii="宋体" w:hAnsi="宋体" w:eastAsia="宋体" w:cs="宋体"/>
                <w:b/>
                <w:bCs/>
                <w:spacing w:val="-1"/>
                <w:sz w:val="21"/>
                <w:szCs w:val="21"/>
              </w:rPr>
              <w:t>(报价时须提供该项课程匹配清单并加盖报价人公章，未提供或提供内容不全则视为报价无效)。</w:t>
            </w:r>
          </w:p>
          <w:p w14:paraId="4F28CAAA">
            <w:pPr>
              <w:spacing w:before="20" w:line="233" w:lineRule="auto"/>
              <w:ind w:left="112" w:right="106" w:firstLine="49"/>
              <w:rPr>
                <w:rFonts w:ascii="宋体" w:hAnsi="宋体" w:eastAsia="宋体" w:cs="宋体"/>
                <w:b/>
                <w:bCs/>
                <w:spacing w:val="-1"/>
                <w:sz w:val="21"/>
                <w:szCs w:val="21"/>
              </w:rPr>
            </w:pPr>
            <w:r>
              <w:rPr>
                <w:rFonts w:ascii="宋体" w:hAnsi="宋体" w:eastAsia="宋体" w:cs="宋体"/>
                <w:spacing w:val="-1"/>
                <w:sz w:val="21"/>
                <w:szCs w:val="21"/>
              </w:rPr>
              <w:t>3.课程资源授权：课程资源内容必须为正规版权或正规版权授权</w:t>
            </w:r>
            <w:r>
              <w:rPr>
                <w:rFonts w:ascii="宋体" w:hAnsi="宋体" w:eastAsia="宋体" w:cs="宋体"/>
                <w:b/>
                <w:bCs/>
                <w:spacing w:val="-1"/>
                <w:sz w:val="21"/>
                <w:szCs w:val="21"/>
              </w:rPr>
              <w:t>(报价时须提供项目所有课程资源内容为正版授权或正规版权授权的承诺书并加盖报价人公章，未提供或提供不全 则视为报价无效)。</w:t>
            </w:r>
          </w:p>
          <w:p w14:paraId="11405B66">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如在采购人使用过程中出现版权纠纷或版权问题，则采购人有权</w:t>
            </w:r>
            <w:r>
              <w:rPr>
                <w:rFonts w:hint="eastAsia" w:ascii="宋体" w:hAnsi="宋体" w:eastAsia="宋体" w:cs="宋体"/>
                <w:spacing w:val="-1"/>
                <w:sz w:val="21"/>
                <w:szCs w:val="21"/>
                <w:lang w:val="en-US" w:eastAsia="zh-CN"/>
              </w:rPr>
              <w:t>中</w:t>
            </w:r>
            <w:r>
              <w:rPr>
                <w:rFonts w:ascii="宋体" w:hAnsi="宋体" w:eastAsia="宋体" w:cs="宋体"/>
                <w:spacing w:val="-1"/>
                <w:sz w:val="21"/>
                <w:szCs w:val="21"/>
              </w:rPr>
              <w:t>止合作并追究报价人法律责任。</w:t>
            </w:r>
          </w:p>
          <w:p w14:paraId="3BD9A687">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4.课程内容：课程资源应包含全套习题和测验、所有知识点视频(视频和动画资源)、所用资源的版权信息等。支持自主搜索备课 资源库，添加图书、文档、视频、音频等电子学习资料，配套材料应包括课程介绍、教学大纲、学习资料、 课后习题、课后作业、阶段测试和试题库(每门课程至少包含150道试题，满足期末考试两套试卷组卷要求)等。</w:t>
            </w:r>
          </w:p>
          <w:p w14:paraId="6653701B">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5.课程建设：支持教师自主建设课程或对平台现有课程进行修改编辑，支持课程门户可视化建设，支持便捷的将视频、图书、文档组成一门课程。平台须自带课程版权保护功能， 能确保采购人教师自主建设的课程或修改后的课程版权归属于教师本人，且确保此类课程仅限于采购人学生学习使用，不得作为他用。</w:t>
            </w:r>
          </w:p>
          <w:p w14:paraId="37D561E5">
            <w:pPr>
              <w:spacing w:before="20" w:line="233" w:lineRule="auto"/>
              <w:ind w:left="112" w:right="106" w:firstLine="49"/>
              <w:rPr>
                <w:rFonts w:ascii="宋体" w:hAnsi="宋体" w:eastAsia="宋体" w:cs="宋体"/>
                <w:spacing w:val="-1"/>
                <w:sz w:val="21"/>
                <w:szCs w:val="21"/>
              </w:rPr>
            </w:pPr>
            <w:r>
              <w:rPr>
                <w:rFonts w:ascii="宋体" w:hAnsi="宋体" w:eastAsia="宋体" w:cs="宋体"/>
                <w:spacing w:val="-1"/>
                <w:sz w:val="21"/>
                <w:szCs w:val="21"/>
              </w:rPr>
              <w:t>(九)其他要求</w:t>
            </w:r>
          </w:p>
          <w:p w14:paraId="7AB3451F">
            <w:pPr>
              <w:spacing w:before="20" w:line="233" w:lineRule="auto"/>
              <w:ind w:left="112" w:right="106" w:firstLine="49"/>
              <w:rPr>
                <w:rFonts w:hint="eastAsia" w:ascii="宋体" w:hAnsi="宋体" w:cs="宋体"/>
                <w:b w:val="0"/>
                <w:bCs w:val="0"/>
                <w:color w:val="000000"/>
                <w:kern w:val="0"/>
                <w:sz w:val="22"/>
                <w:szCs w:val="22"/>
              </w:rPr>
            </w:pPr>
            <w:r>
              <w:rPr>
                <w:rFonts w:ascii="宋体" w:hAnsi="宋体" w:eastAsia="宋体" w:cs="宋体"/>
                <w:spacing w:val="-1"/>
                <w:sz w:val="21"/>
                <w:szCs w:val="21"/>
              </w:rPr>
              <w:t>服务期满后，如采购人不再续约，报价人须免费将平台中运行的数据，通过pdf、excel、word、dbf等文件形式，导出给采购人。同时，报价人还应将平台中运行的数据制作成可在采购人本地数据库服务器安装并访问的数据库文件，协助采购人安装数据库文件，并确保在本地数据库中可以正常打开、使用相关数据。</w:t>
            </w:r>
          </w:p>
        </w:tc>
        <w:tc>
          <w:tcPr>
            <w:tcW w:w="709" w:type="dxa"/>
            <w:tcBorders>
              <w:top w:val="single" w:color="auto" w:sz="4" w:space="0"/>
              <w:left w:val="single" w:color="auto" w:sz="4" w:space="0"/>
              <w:bottom w:val="single" w:color="auto" w:sz="4" w:space="0"/>
              <w:right w:val="single" w:color="auto" w:sz="4" w:space="0"/>
            </w:tcBorders>
            <w:vAlign w:val="top"/>
          </w:tcPr>
          <w:p w14:paraId="49F53883">
            <w:pPr>
              <w:widowControl/>
              <w:jc w:val="both"/>
              <w:rPr>
                <w:rFonts w:hint="eastAsia" w:ascii="宋体" w:hAnsi="宋体" w:cs="宋体" w:eastAsiaTheme="minorEastAsia"/>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个</w:t>
            </w:r>
          </w:p>
        </w:tc>
        <w:tc>
          <w:tcPr>
            <w:tcW w:w="850" w:type="dxa"/>
            <w:tcBorders>
              <w:top w:val="single" w:color="auto" w:sz="4" w:space="0"/>
              <w:left w:val="single" w:color="auto" w:sz="4" w:space="0"/>
              <w:bottom w:val="single" w:color="auto" w:sz="4" w:space="0"/>
              <w:right w:val="single" w:color="auto" w:sz="4" w:space="0"/>
            </w:tcBorders>
            <w:vAlign w:val="top"/>
          </w:tcPr>
          <w:p w14:paraId="184CD4FC">
            <w:pPr>
              <w:widowControl/>
              <w:jc w:val="both"/>
              <w:rPr>
                <w:rFonts w:hint="default" w:ascii="宋体" w:hAnsi="宋体" w:cs="宋体" w:eastAsiaTheme="minorEastAsia"/>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122</w:t>
            </w:r>
          </w:p>
        </w:tc>
      </w:tr>
      <w:tr w14:paraId="5C71D1ED">
        <w:tblPrEx>
          <w:tblCellMar>
            <w:top w:w="0" w:type="dxa"/>
            <w:left w:w="108" w:type="dxa"/>
            <w:bottom w:w="0" w:type="dxa"/>
            <w:right w:w="108" w:type="dxa"/>
          </w:tblCellMar>
        </w:tblPrEx>
        <w:trPr>
          <w:trHeight w:val="972" w:hRule="atLeast"/>
        </w:trPr>
        <w:tc>
          <w:tcPr>
            <w:tcW w:w="1148" w:type="dxa"/>
            <w:gridSpan w:val="2"/>
            <w:tcBorders>
              <w:top w:val="nil"/>
              <w:left w:val="single" w:color="auto" w:sz="4" w:space="0"/>
              <w:bottom w:val="single" w:color="auto" w:sz="4" w:space="0"/>
              <w:right w:val="single" w:color="auto" w:sz="4" w:space="0"/>
            </w:tcBorders>
          </w:tcPr>
          <w:p w14:paraId="6D2E65CC">
            <w:pPr>
              <w:widowControl/>
              <w:rPr>
                <w:szCs w:val="21"/>
              </w:rPr>
            </w:pPr>
            <w:r>
              <w:rPr>
                <w:szCs w:val="21"/>
              </w:rPr>
              <w:t>商务要求</w:t>
            </w:r>
          </w:p>
        </w:tc>
        <w:tc>
          <w:tcPr>
            <w:tcW w:w="8599" w:type="dxa"/>
            <w:gridSpan w:val="3"/>
            <w:tcBorders>
              <w:top w:val="nil"/>
              <w:left w:val="nil"/>
              <w:bottom w:val="single" w:color="auto" w:sz="4" w:space="0"/>
              <w:right w:val="single" w:color="auto" w:sz="4" w:space="0"/>
            </w:tcBorders>
            <w:vAlign w:val="top"/>
          </w:tcPr>
          <w:p w14:paraId="0A155EBE">
            <w:pPr>
              <w:rPr>
                <w:rFonts w:hint="eastAsia"/>
                <w:highlight w:val="none"/>
                <w:lang w:val="en-US" w:eastAsia="zh-CN"/>
              </w:rPr>
            </w:pPr>
            <w:r>
              <w:rPr>
                <w:rFonts w:hint="eastAsia" w:cs="Times New Roman"/>
                <w:sz w:val="21"/>
                <w:szCs w:val="21"/>
              </w:rPr>
              <w:t>1.</w:t>
            </w:r>
            <w:r>
              <w:rPr>
                <w:rFonts w:hint="eastAsia"/>
                <w:highlight w:val="none"/>
                <w:lang w:val="en-US" w:eastAsia="zh-CN"/>
              </w:rPr>
              <w:t>服务交付时间：项目自合同签订之日起</w:t>
            </w:r>
            <w:r>
              <w:rPr>
                <w:rFonts w:hint="eastAsia"/>
                <w:b/>
                <w:bCs/>
                <w:highlight w:val="none"/>
                <w:u w:val="single"/>
                <w:lang w:val="en-US" w:eastAsia="zh-CN"/>
              </w:rPr>
              <w:t>30日内</w:t>
            </w:r>
            <w:r>
              <w:rPr>
                <w:rFonts w:hint="eastAsia"/>
                <w:highlight w:val="none"/>
                <w:lang w:val="en-US" w:eastAsia="zh-CN"/>
              </w:rPr>
              <w:t>完成项目的系统开发、部署、 安装、调试等全部服务内容。</w:t>
            </w:r>
          </w:p>
          <w:p w14:paraId="1935AD24">
            <w:pPr>
              <w:rPr>
                <w:rFonts w:hint="eastAsia"/>
                <w:highlight w:val="none"/>
                <w:lang w:val="en-US" w:eastAsia="zh-CN"/>
              </w:rPr>
            </w:pPr>
            <w:r>
              <w:rPr>
                <w:rFonts w:hint="eastAsia" w:cs="Times New Roman"/>
                <w:szCs w:val="21"/>
                <w:highlight w:val="none"/>
                <w:lang w:val="en-US" w:eastAsia="zh-CN"/>
              </w:rPr>
              <w:t>服务质保期：</w:t>
            </w:r>
            <w:r>
              <w:rPr>
                <w:rFonts w:hint="eastAsia" w:cs="Times New Roman"/>
                <w:szCs w:val="21"/>
                <w:highlight w:val="none"/>
              </w:rPr>
              <w:t>自</w:t>
            </w:r>
            <w:r>
              <w:rPr>
                <w:rFonts w:hint="eastAsia" w:cs="Times New Roman"/>
                <w:szCs w:val="21"/>
                <w:highlight w:val="none"/>
                <w:lang w:val="en-US" w:eastAsia="zh-CN"/>
              </w:rPr>
              <w:t>服务内容</w:t>
            </w:r>
            <w:r>
              <w:rPr>
                <w:rFonts w:hint="eastAsia" w:cs="Times New Roman"/>
                <w:szCs w:val="21"/>
                <w:highlight w:val="none"/>
              </w:rPr>
              <w:t>验收</w:t>
            </w:r>
            <w:r>
              <w:rPr>
                <w:rFonts w:hint="eastAsia" w:cs="Times New Roman"/>
                <w:szCs w:val="21"/>
                <w:highlight w:val="none"/>
                <w:lang w:val="en-US" w:eastAsia="zh-CN"/>
              </w:rPr>
              <w:t>合格之日</w:t>
            </w:r>
            <w:r>
              <w:rPr>
                <w:rFonts w:hint="eastAsia" w:cs="Times New Roman"/>
                <w:szCs w:val="21"/>
                <w:highlight w:val="none"/>
              </w:rPr>
              <w:t>起</w:t>
            </w:r>
            <w:r>
              <w:rPr>
                <w:rFonts w:hint="eastAsia" w:cs="Times New Roman"/>
                <w:b/>
                <w:bCs/>
                <w:szCs w:val="21"/>
                <w:highlight w:val="none"/>
                <w:u w:val="single"/>
                <w:lang w:val="en-US" w:eastAsia="zh-CN"/>
              </w:rPr>
              <w:t>5</w:t>
            </w:r>
            <w:r>
              <w:rPr>
                <w:rFonts w:hint="eastAsia" w:cs="Times New Roman"/>
                <w:b/>
                <w:bCs/>
                <w:szCs w:val="21"/>
                <w:highlight w:val="none"/>
                <w:u w:val="single"/>
              </w:rPr>
              <w:t>年</w:t>
            </w:r>
            <w:r>
              <w:rPr>
                <w:rFonts w:hint="eastAsia" w:cs="Times New Roman"/>
                <w:szCs w:val="21"/>
                <w:highlight w:val="none"/>
              </w:rPr>
              <w:t>的免费质保与技术支持。</w:t>
            </w:r>
          </w:p>
          <w:p w14:paraId="68975E83">
            <w:pPr>
              <w:pStyle w:val="4"/>
              <w:rPr>
                <w:rFonts w:hint="eastAsia" w:cs="Times New Roman" w:eastAsiaTheme="minorEastAsia"/>
                <w:b w:val="0"/>
                <w:bCs w:val="0"/>
                <w:color w:val="auto"/>
                <w:sz w:val="21"/>
                <w:szCs w:val="21"/>
                <w:lang w:val="en-US" w:eastAsia="zh-CN"/>
              </w:rPr>
            </w:pPr>
            <w:r>
              <w:rPr>
                <w:rFonts w:hint="eastAsia" w:cs="Times New Roman"/>
                <w:b w:val="0"/>
                <w:bCs w:val="0"/>
                <w:color w:val="auto"/>
                <w:sz w:val="21"/>
                <w:szCs w:val="21"/>
              </w:rPr>
              <w:t>2.技术支持和服务</w:t>
            </w:r>
            <w:r>
              <w:rPr>
                <w:rFonts w:hint="eastAsia" w:cs="Times New Roman"/>
                <w:b w:val="0"/>
                <w:bCs w:val="0"/>
                <w:color w:val="auto"/>
                <w:sz w:val="21"/>
                <w:szCs w:val="21"/>
                <w:lang w:val="en-US" w:eastAsia="zh-CN"/>
              </w:rPr>
              <w:t>要求</w:t>
            </w:r>
          </w:p>
          <w:p w14:paraId="58B310B5">
            <w:pPr>
              <w:snapToGrid w:val="0"/>
              <w:spacing w:line="276" w:lineRule="auto"/>
              <w:rPr>
                <w:rFonts w:ascii="宋体" w:hAnsi="宋体"/>
                <w:color w:val="auto"/>
                <w:kern w:val="0"/>
                <w:szCs w:val="22"/>
              </w:rPr>
            </w:pPr>
            <w:r>
              <w:rPr>
                <w:rFonts w:hint="eastAsia" w:ascii="宋体" w:hAnsi="宋体"/>
                <w:color w:val="auto"/>
                <w:kern w:val="0"/>
                <w:szCs w:val="22"/>
                <w:lang w:val="en-US" w:eastAsia="zh-CN"/>
              </w:rPr>
              <w:t>（1）本</w:t>
            </w:r>
            <w:r>
              <w:rPr>
                <w:rFonts w:ascii="宋体" w:hAnsi="宋体"/>
                <w:color w:val="auto"/>
                <w:kern w:val="0"/>
                <w:szCs w:val="22"/>
              </w:rPr>
              <w:t>项目所提供的全部货物（含硬件、软件及服务）必须完全满足</w:t>
            </w:r>
            <w:r>
              <w:rPr>
                <w:rFonts w:hint="eastAsia" w:ascii="宋体" w:hAnsi="宋体"/>
                <w:color w:val="auto"/>
                <w:kern w:val="0"/>
                <w:szCs w:val="22"/>
                <w:lang w:val="en-US" w:eastAsia="zh-CN"/>
              </w:rPr>
              <w:t>报价</w:t>
            </w:r>
            <w:r>
              <w:rPr>
                <w:rFonts w:ascii="宋体" w:hAnsi="宋体"/>
                <w:color w:val="auto"/>
                <w:kern w:val="0"/>
                <w:szCs w:val="22"/>
              </w:rPr>
              <w:t>文件所述要求，如中标</w:t>
            </w:r>
            <w:r>
              <w:rPr>
                <w:rFonts w:hint="eastAsia" w:ascii="宋体" w:hAnsi="宋体"/>
                <w:color w:val="auto"/>
                <w:kern w:val="0"/>
                <w:szCs w:val="22"/>
                <w:lang w:eastAsia="zh-CN"/>
              </w:rPr>
              <w:t>报价人</w:t>
            </w:r>
            <w:r>
              <w:rPr>
                <w:rFonts w:ascii="宋体" w:hAnsi="宋体"/>
                <w:color w:val="auto"/>
                <w:kern w:val="0"/>
                <w:szCs w:val="22"/>
              </w:rPr>
              <w:t>在</w:t>
            </w:r>
            <w:r>
              <w:rPr>
                <w:rFonts w:hint="eastAsia" w:ascii="宋体" w:hAnsi="宋体"/>
                <w:color w:val="auto"/>
                <w:kern w:val="0"/>
                <w:szCs w:val="22"/>
                <w:lang w:eastAsia="zh-CN"/>
              </w:rPr>
              <w:t>报价</w:t>
            </w:r>
            <w:r>
              <w:rPr>
                <w:rFonts w:ascii="宋体" w:hAnsi="宋体"/>
                <w:color w:val="auto"/>
                <w:kern w:val="0"/>
                <w:szCs w:val="22"/>
              </w:rPr>
              <w:t>文件中有承诺正偏离的应按其正偏离内容执行。</w:t>
            </w:r>
          </w:p>
          <w:p w14:paraId="66BF388E">
            <w:pPr>
              <w:pStyle w:val="4"/>
              <w:rPr>
                <w:rFonts w:cs="Times New Roman"/>
                <w:sz w:val="21"/>
                <w:szCs w:val="21"/>
              </w:rPr>
            </w:pPr>
            <w:r>
              <w:rPr>
                <w:rFonts w:hint="eastAsia" w:ascii="宋体" w:hAnsi="宋体"/>
                <w:color w:val="auto"/>
                <w:kern w:val="0"/>
                <w:szCs w:val="22"/>
                <w:lang w:val="en-US" w:eastAsia="zh-CN"/>
              </w:rPr>
              <w:t>（2）</w:t>
            </w:r>
            <w:r>
              <w:rPr>
                <w:rFonts w:hint="eastAsia" w:cs="Times New Roman"/>
                <w:sz w:val="21"/>
                <w:szCs w:val="21"/>
              </w:rPr>
              <w:t>电话、线上咨询。报价人为采购人提供技术援助，解答采购人在使用中遇到的问题，及时为采购人提出解决问题的方案。提供7</w:t>
            </w:r>
            <w:r>
              <w:rPr>
                <w:rFonts w:hint="default" w:ascii="Arial" w:hAnsi="Arial" w:cs="Arial"/>
                <w:sz w:val="21"/>
                <w:szCs w:val="21"/>
              </w:rPr>
              <w:t>×</w:t>
            </w:r>
            <w:r>
              <w:rPr>
                <w:rFonts w:hint="eastAsia" w:cs="Times New Roman"/>
                <w:sz w:val="21"/>
                <w:szCs w:val="21"/>
              </w:rPr>
              <w:t>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6F552B7E">
            <w:pPr>
              <w:snapToGrid w:val="0"/>
              <w:spacing w:line="276" w:lineRule="auto"/>
              <w:rPr>
                <w:rFonts w:hint="eastAsia" w:cs="Times New Roman"/>
                <w:color w:val="auto"/>
                <w:sz w:val="21"/>
                <w:szCs w:val="21"/>
              </w:rPr>
            </w:pPr>
            <w:r>
              <w:rPr>
                <w:rFonts w:hint="eastAsia" w:ascii="宋体" w:hAnsi="宋体"/>
                <w:color w:val="auto"/>
                <w:kern w:val="0"/>
                <w:szCs w:val="22"/>
                <w:lang w:eastAsia="zh-CN"/>
              </w:rPr>
              <w:t>（</w:t>
            </w:r>
            <w:r>
              <w:rPr>
                <w:rFonts w:hint="eastAsia" w:ascii="宋体" w:hAnsi="宋体"/>
                <w:color w:val="auto"/>
                <w:kern w:val="0"/>
                <w:szCs w:val="22"/>
                <w:lang w:val="en-US" w:eastAsia="zh-CN"/>
              </w:rPr>
              <w:t>3</w:t>
            </w:r>
            <w:r>
              <w:rPr>
                <w:rFonts w:hint="eastAsia" w:ascii="宋体" w:hAnsi="宋体"/>
                <w:color w:val="auto"/>
                <w:kern w:val="0"/>
                <w:szCs w:val="22"/>
                <w:lang w:eastAsia="zh-CN"/>
              </w:rPr>
              <w:t>）</w:t>
            </w:r>
            <w:r>
              <w:rPr>
                <w:rFonts w:ascii="宋体" w:hAnsi="宋体"/>
                <w:color w:val="auto"/>
                <w:kern w:val="0"/>
                <w:szCs w:val="22"/>
              </w:rPr>
              <w:t>本项目</w:t>
            </w:r>
            <w:r>
              <w:rPr>
                <w:rFonts w:hint="eastAsia" w:ascii="宋体" w:hAnsi="宋体"/>
                <w:color w:val="auto"/>
                <w:kern w:val="0"/>
                <w:szCs w:val="22"/>
                <w:lang w:val="en-US" w:eastAsia="zh-CN"/>
              </w:rPr>
              <w:t>如有</w:t>
            </w:r>
            <w:r>
              <w:rPr>
                <w:rFonts w:ascii="宋体" w:hAnsi="宋体"/>
                <w:color w:val="auto"/>
                <w:kern w:val="0"/>
                <w:szCs w:val="22"/>
              </w:rPr>
              <w:t>软件（</w:t>
            </w:r>
            <w:r>
              <w:rPr>
                <w:rFonts w:hint="eastAsia" w:ascii="宋体" w:hAnsi="宋体"/>
                <w:color w:val="auto"/>
                <w:kern w:val="0"/>
                <w:szCs w:val="22"/>
                <w:lang w:val="en-US" w:eastAsia="zh-CN"/>
              </w:rPr>
              <w:t>不包括随机出厂预装</w:t>
            </w:r>
            <w:r>
              <w:rPr>
                <w:rFonts w:ascii="宋体" w:hAnsi="宋体"/>
                <w:color w:val="auto"/>
                <w:kern w:val="0"/>
                <w:szCs w:val="22"/>
              </w:rPr>
              <w:t>）</w:t>
            </w:r>
            <w:r>
              <w:rPr>
                <w:rFonts w:hint="eastAsia" w:ascii="宋体" w:hAnsi="宋体"/>
                <w:color w:val="auto"/>
                <w:kern w:val="0"/>
                <w:szCs w:val="22"/>
                <w:lang w:val="en-US" w:eastAsia="zh-CN"/>
              </w:rPr>
              <w:t>除安装在采购人本地服务器（计算机）上，还必须一式两份用U盘或移动硬盘（接口USB3.0以上质保期不低于三年）将软件安装包、软件使用说明书、技术文档、软件常规操作录屏分目录存放，验收前一并交付给采购人。</w:t>
            </w:r>
            <w:r>
              <w:rPr>
                <w:rFonts w:ascii="宋体" w:hAnsi="宋体"/>
                <w:color w:val="auto"/>
                <w:kern w:val="0"/>
                <w:szCs w:val="22"/>
              </w:rPr>
              <w:t>在本项目合同约定的质保期过后，</w:t>
            </w:r>
            <w:r>
              <w:rPr>
                <w:rFonts w:hint="eastAsia" w:ascii="宋体" w:hAnsi="宋体"/>
                <w:color w:val="auto"/>
                <w:kern w:val="0"/>
                <w:szCs w:val="22"/>
                <w:lang w:val="en-US" w:eastAsia="zh-CN"/>
              </w:rPr>
              <w:t>中标</w:t>
            </w:r>
            <w:r>
              <w:rPr>
                <w:rFonts w:hint="eastAsia" w:ascii="宋体" w:hAnsi="宋体"/>
                <w:color w:val="auto"/>
                <w:kern w:val="0"/>
                <w:szCs w:val="22"/>
                <w:lang w:eastAsia="zh-CN"/>
              </w:rPr>
              <w:t>报价人</w:t>
            </w:r>
            <w:r>
              <w:rPr>
                <w:rFonts w:ascii="宋体" w:hAnsi="宋体"/>
                <w:color w:val="auto"/>
                <w:kern w:val="0"/>
                <w:szCs w:val="22"/>
              </w:rPr>
              <w:t>需确保该软件其功能仍与交付验收时一致不受限制</w:t>
            </w:r>
            <w:r>
              <w:rPr>
                <w:rFonts w:hint="eastAsia" w:ascii="宋体" w:hAnsi="宋体"/>
                <w:color w:val="auto"/>
                <w:kern w:val="0"/>
                <w:szCs w:val="22"/>
                <w:lang w:val="en-US" w:eastAsia="zh-CN"/>
              </w:rPr>
              <w:t>或减少</w:t>
            </w:r>
            <w:r>
              <w:rPr>
                <w:rFonts w:ascii="宋体" w:hAnsi="宋体"/>
                <w:color w:val="auto"/>
                <w:kern w:val="0"/>
                <w:szCs w:val="22"/>
              </w:rPr>
              <w:t>（如合同另有约定的按合同约定），质保期过后如需对软件进行升级或售后服务双方再行协商。</w:t>
            </w:r>
          </w:p>
          <w:p w14:paraId="59C915F4">
            <w:pPr>
              <w:snapToGrid w:val="0"/>
              <w:spacing w:line="276" w:lineRule="auto"/>
              <w:rPr>
                <w:rFonts w:hint="eastAsia" w:ascii="宋体" w:hAnsi="宋体"/>
                <w:color w:val="auto"/>
                <w:kern w:val="0"/>
                <w:szCs w:val="22"/>
                <w:lang w:val="en-US" w:eastAsia="zh-CN"/>
              </w:rPr>
            </w:pPr>
            <w:r>
              <w:rPr>
                <w:rFonts w:hint="eastAsia" w:ascii="宋体" w:hAnsi="宋体"/>
                <w:color w:val="auto"/>
                <w:kern w:val="0"/>
                <w:szCs w:val="22"/>
                <w:lang w:eastAsia="zh-CN"/>
              </w:rPr>
              <w:t>（</w:t>
            </w:r>
            <w:r>
              <w:rPr>
                <w:rFonts w:hint="eastAsia" w:ascii="宋体" w:hAnsi="宋体"/>
                <w:color w:val="auto"/>
                <w:kern w:val="0"/>
                <w:szCs w:val="22"/>
                <w:lang w:val="en-US" w:eastAsia="zh-CN"/>
              </w:rPr>
              <w:t>4</w:t>
            </w:r>
            <w:r>
              <w:rPr>
                <w:rFonts w:hint="eastAsia" w:ascii="宋体" w:hAnsi="宋体"/>
                <w:color w:val="auto"/>
                <w:kern w:val="0"/>
                <w:szCs w:val="22"/>
                <w:lang w:eastAsia="zh-CN"/>
              </w:rPr>
              <w:t>）</w:t>
            </w:r>
            <w:r>
              <w:rPr>
                <w:rFonts w:ascii="宋体" w:hAnsi="宋体"/>
                <w:color w:val="auto"/>
                <w:kern w:val="0"/>
                <w:szCs w:val="22"/>
              </w:rPr>
              <w:t>本项目所含软件（如有）必须为符合采购人适用范围的正版软件（非试用版），</w:t>
            </w:r>
            <w:r>
              <w:rPr>
                <w:rFonts w:hint="eastAsia" w:ascii="宋体" w:hAnsi="宋体"/>
                <w:color w:val="auto"/>
                <w:kern w:val="0"/>
                <w:szCs w:val="22"/>
                <w:lang w:eastAsia="zh-CN"/>
              </w:rPr>
              <w:t>且</w:t>
            </w:r>
            <w:r>
              <w:rPr>
                <w:rFonts w:hint="eastAsia" w:ascii="宋体" w:hAnsi="宋体"/>
                <w:color w:val="auto"/>
                <w:kern w:val="0"/>
                <w:szCs w:val="22"/>
                <w:lang w:val="en-US" w:eastAsia="zh-CN"/>
              </w:rPr>
              <w:t>根据网络安全法及信息系统等级保护的相关规定，在正式验收前必须经采购人网信部门进行安全扫描，扫描合格后方能进行正式部署及正式验收。若中标报价人对扫描结果有异议，可委托双方认可的具备相关资质第三方检测机构进行检测，相关费用由中标报价人承担。</w:t>
            </w:r>
          </w:p>
          <w:p w14:paraId="0BCB99B4">
            <w:pPr>
              <w:pStyle w:val="4"/>
              <w:rPr>
                <w:rFonts w:hint="default" w:cs="Times New Roman"/>
                <w:color w:val="auto"/>
                <w:sz w:val="21"/>
                <w:szCs w:val="21"/>
                <w:lang w:val="en-US" w:eastAsia="zh-CN"/>
              </w:rPr>
            </w:pPr>
            <w:r>
              <w:rPr>
                <w:rFonts w:hint="eastAsia" w:cs="Times New Roman"/>
                <w:color w:val="auto"/>
                <w:sz w:val="21"/>
                <w:szCs w:val="21"/>
                <w:lang w:val="en-US" w:eastAsia="zh-CN"/>
              </w:rPr>
              <w:t>3.知识产权</w:t>
            </w:r>
          </w:p>
          <w:p w14:paraId="30EFC518">
            <w:pPr>
              <w:pStyle w:val="4"/>
              <w:rPr>
                <w:rFonts w:hint="eastAsia" w:cs="Times New Roman"/>
                <w:color w:val="auto"/>
                <w:sz w:val="21"/>
                <w:szCs w:val="21"/>
              </w:rPr>
            </w:pPr>
            <w:r>
              <w:rPr>
                <w:rFonts w:hint="eastAsia" w:cs="Times New Roman"/>
                <w:color w:val="auto"/>
                <w:sz w:val="21"/>
                <w:szCs w:val="21"/>
                <w:lang w:eastAsia="zh-CN"/>
              </w:rPr>
              <w:t>（</w:t>
            </w:r>
            <w:r>
              <w:rPr>
                <w:rFonts w:hint="eastAsia" w:cs="Times New Roman"/>
                <w:color w:val="auto"/>
                <w:sz w:val="21"/>
                <w:szCs w:val="21"/>
                <w:lang w:val="en-US" w:eastAsia="zh-CN"/>
              </w:rPr>
              <w:t>1</w:t>
            </w:r>
            <w:r>
              <w:rPr>
                <w:rFonts w:hint="eastAsia" w:cs="Times New Roman"/>
                <w:color w:val="auto"/>
                <w:sz w:val="21"/>
                <w:szCs w:val="21"/>
                <w:lang w:eastAsia="zh-CN"/>
              </w:rPr>
              <w:t>）</w:t>
            </w:r>
            <w:r>
              <w:rPr>
                <w:rFonts w:hint="eastAsia" w:cs="Times New Roman"/>
                <w:color w:val="auto"/>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w:t>
            </w:r>
            <w:r>
              <w:rPr>
                <w:rFonts w:hint="eastAsia" w:cs="Times New Roman"/>
                <w:color w:val="auto"/>
                <w:sz w:val="21"/>
                <w:szCs w:val="21"/>
                <w:lang w:val="en-US" w:eastAsia="zh-CN"/>
              </w:rPr>
              <w:t>采购人</w:t>
            </w:r>
            <w:r>
              <w:rPr>
                <w:rFonts w:hint="eastAsia" w:cs="Times New Roman"/>
                <w:color w:val="auto"/>
                <w:sz w:val="21"/>
                <w:szCs w:val="21"/>
              </w:rPr>
              <w:t>的书面许可，报价人不得以任何方式商业性地利用上述资料和技术。</w:t>
            </w:r>
          </w:p>
          <w:p w14:paraId="43AE8209">
            <w:pPr>
              <w:pStyle w:val="4"/>
              <w:rPr>
                <w:rFonts w:hint="eastAsia" w:cs="Times New Roman"/>
                <w:color w:val="auto"/>
                <w:sz w:val="21"/>
                <w:szCs w:val="21"/>
              </w:rPr>
            </w:pPr>
            <w:r>
              <w:rPr>
                <w:rFonts w:hint="eastAsia" w:cs="Times New Roman"/>
                <w:color w:val="auto"/>
                <w:sz w:val="21"/>
                <w:szCs w:val="21"/>
                <w:lang w:eastAsia="zh-CN"/>
              </w:rPr>
              <w:t>（</w:t>
            </w:r>
            <w:r>
              <w:rPr>
                <w:rFonts w:hint="eastAsia" w:cs="Times New Roman"/>
                <w:color w:val="auto"/>
                <w:sz w:val="21"/>
                <w:szCs w:val="21"/>
                <w:lang w:val="en-US" w:eastAsia="zh-CN"/>
              </w:rPr>
              <w:t>2</w:t>
            </w:r>
            <w:r>
              <w:rPr>
                <w:rFonts w:hint="eastAsia" w:cs="Times New Roman"/>
                <w:color w:val="auto"/>
                <w:sz w:val="21"/>
                <w:szCs w:val="21"/>
                <w:lang w:eastAsia="zh-CN"/>
              </w:rPr>
              <w:t>）</w:t>
            </w:r>
            <w:r>
              <w:rPr>
                <w:rFonts w:hint="eastAsia" w:cs="Times New Roman"/>
                <w:color w:val="auto"/>
                <w:sz w:val="21"/>
                <w:szCs w:val="21"/>
              </w:rPr>
              <w:t>报价人因未经授权而实施的商业性复制行为构成违约或侵权责任造成采购人损失的，由其承但相关责任并赔偿采购人经济损失。</w:t>
            </w:r>
          </w:p>
          <w:p w14:paraId="1BD10D44">
            <w:pPr>
              <w:snapToGrid w:val="0"/>
              <w:spacing w:line="276" w:lineRule="auto"/>
              <w:rPr>
                <w:rFonts w:hint="eastAsia" w:cs="Times New Roman"/>
                <w:color w:val="auto"/>
                <w:sz w:val="21"/>
                <w:szCs w:val="21"/>
              </w:rPr>
            </w:pPr>
            <w:r>
              <w:rPr>
                <w:rFonts w:hint="eastAsia" w:ascii="宋体" w:hAnsi="宋体"/>
                <w:color w:val="auto"/>
                <w:kern w:val="0"/>
                <w:szCs w:val="22"/>
                <w:lang w:eastAsia="zh-CN"/>
              </w:rPr>
              <w:t>（</w:t>
            </w:r>
            <w:r>
              <w:rPr>
                <w:rFonts w:hint="eastAsia" w:ascii="宋体" w:hAnsi="宋体"/>
                <w:color w:val="auto"/>
                <w:kern w:val="0"/>
                <w:szCs w:val="22"/>
                <w:lang w:val="en-US" w:eastAsia="zh-CN"/>
              </w:rPr>
              <w:t>3</w:t>
            </w:r>
            <w:r>
              <w:rPr>
                <w:rFonts w:hint="eastAsia" w:ascii="宋体" w:hAnsi="宋体"/>
                <w:color w:val="auto"/>
                <w:kern w:val="0"/>
                <w:szCs w:val="22"/>
                <w:lang w:eastAsia="zh-CN"/>
              </w:rPr>
              <w:t>）</w:t>
            </w:r>
            <w:r>
              <w:rPr>
                <w:rFonts w:ascii="宋体" w:hAnsi="宋体"/>
                <w:color w:val="auto"/>
                <w:kern w:val="0"/>
                <w:szCs w:val="22"/>
              </w:rPr>
              <w:t>中标</w:t>
            </w:r>
            <w:r>
              <w:rPr>
                <w:rFonts w:hint="eastAsia" w:ascii="宋体" w:hAnsi="宋体"/>
                <w:color w:val="auto"/>
                <w:kern w:val="0"/>
                <w:szCs w:val="22"/>
                <w:lang w:eastAsia="zh-CN"/>
              </w:rPr>
              <w:t>报价人</w:t>
            </w:r>
            <w:r>
              <w:rPr>
                <w:rFonts w:ascii="宋体" w:hAnsi="宋体"/>
                <w:color w:val="auto"/>
                <w:kern w:val="0"/>
                <w:szCs w:val="22"/>
              </w:rPr>
              <w:t>应保证针对本项目的货物（含硬件、软件及服务）涉及到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color w:val="auto"/>
                <w:kern w:val="0"/>
                <w:szCs w:val="22"/>
                <w:lang w:eastAsia="zh-CN"/>
              </w:rPr>
              <w:t>报价</w:t>
            </w:r>
            <w:r>
              <w:rPr>
                <w:rFonts w:ascii="宋体" w:hAnsi="宋体"/>
                <w:color w:val="auto"/>
                <w:kern w:val="0"/>
                <w:szCs w:val="22"/>
              </w:rPr>
              <w:t>人承担。</w:t>
            </w:r>
          </w:p>
          <w:p w14:paraId="6D41A1E0">
            <w:pPr>
              <w:widowControl/>
              <w:numPr>
                <w:ilvl w:val="0"/>
                <w:numId w:val="0"/>
              </w:numPr>
              <w:adjustRightInd w:val="0"/>
              <w:snapToGrid w:val="0"/>
              <w:spacing w:line="520" w:lineRule="exact"/>
              <w:jc w:val="left"/>
              <w:rPr>
                <w:rFonts w:hint="eastAsia" w:ascii="Arial" w:hAnsi="Arial" w:eastAsia="宋体" w:cs="Arial"/>
                <w:b w:val="0"/>
                <w:bCs w:val="0"/>
                <w:color w:val="auto"/>
                <w:kern w:val="0"/>
                <w:sz w:val="21"/>
                <w:szCs w:val="21"/>
                <w:lang w:val="en-US" w:eastAsia="zh-CN"/>
              </w:rPr>
            </w:pPr>
            <w:r>
              <w:rPr>
                <w:rFonts w:hint="eastAsia" w:ascii="Arial" w:hAnsi="Arial" w:eastAsia="宋体" w:cs="Arial"/>
                <w:b w:val="0"/>
                <w:bCs w:val="0"/>
                <w:color w:val="auto"/>
                <w:kern w:val="0"/>
                <w:sz w:val="21"/>
                <w:szCs w:val="21"/>
                <w:lang w:val="en-US" w:eastAsia="zh-CN"/>
              </w:rPr>
              <w:t>4.</w:t>
            </w:r>
            <w:r>
              <w:rPr>
                <w:rFonts w:ascii="Arial" w:hAnsi="Arial" w:eastAsia="宋体" w:cs="Arial"/>
                <w:b w:val="0"/>
                <w:bCs w:val="0"/>
                <w:color w:val="auto"/>
                <w:kern w:val="0"/>
                <w:sz w:val="21"/>
                <w:szCs w:val="21"/>
              </w:rPr>
              <w:t>付款</w:t>
            </w:r>
            <w:r>
              <w:rPr>
                <w:rFonts w:hint="eastAsia" w:ascii="Arial" w:hAnsi="Arial" w:eastAsia="宋体" w:cs="Arial"/>
                <w:b w:val="0"/>
                <w:bCs w:val="0"/>
                <w:color w:val="auto"/>
                <w:kern w:val="0"/>
                <w:sz w:val="21"/>
                <w:szCs w:val="21"/>
                <w:lang w:val="en-US" w:eastAsia="zh-CN"/>
              </w:rPr>
              <w:t>要求</w:t>
            </w:r>
          </w:p>
          <w:p w14:paraId="6D848F9F">
            <w:pPr>
              <w:widowControl/>
              <w:numPr>
                <w:ilvl w:val="0"/>
                <w:numId w:val="0"/>
              </w:numPr>
              <w:adjustRightInd w:val="0"/>
              <w:snapToGrid w:val="0"/>
              <w:spacing w:line="360" w:lineRule="auto"/>
              <w:jc w:val="left"/>
              <w:rPr>
                <w:rFonts w:ascii="Arial" w:hAnsi="Arial" w:eastAsia="宋体" w:cs="Arial"/>
                <w:color w:val="auto"/>
                <w:kern w:val="0"/>
                <w:sz w:val="21"/>
                <w:szCs w:val="21"/>
              </w:rPr>
            </w:pPr>
            <w:r>
              <w:rPr>
                <w:rFonts w:ascii="Arial" w:hAnsi="Arial" w:eastAsia="宋体" w:cs="Arial"/>
                <w:color w:val="auto"/>
                <w:kern w:val="0"/>
                <w:sz w:val="21"/>
                <w:szCs w:val="21"/>
              </w:rPr>
              <w:t>本项目无预付款，合同中所有货物全部安装调试完毕验收合格交付给</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使用后，被选中的</w:t>
            </w:r>
            <w:r>
              <w:rPr>
                <w:rFonts w:hint="eastAsia" w:ascii="Arial" w:hAnsi="Arial" w:eastAsia="宋体" w:cs="Arial"/>
                <w:color w:val="auto"/>
                <w:kern w:val="0"/>
                <w:sz w:val="21"/>
                <w:szCs w:val="21"/>
              </w:rPr>
              <w:t>报价</w:t>
            </w:r>
            <w:r>
              <w:rPr>
                <w:rFonts w:ascii="Arial" w:hAnsi="Arial" w:eastAsia="宋体" w:cs="Arial"/>
                <w:color w:val="auto"/>
                <w:kern w:val="0"/>
                <w:sz w:val="21"/>
                <w:szCs w:val="21"/>
              </w:rPr>
              <w:t>人开具</w:t>
            </w:r>
            <w:r>
              <w:rPr>
                <w:rFonts w:hint="eastAsia" w:ascii="Arial" w:hAnsi="Arial" w:eastAsia="宋体" w:cs="Arial"/>
                <w:color w:val="auto"/>
                <w:kern w:val="0"/>
                <w:sz w:val="21"/>
                <w:szCs w:val="21"/>
              </w:rPr>
              <w:t>全额增值税专用发票</w:t>
            </w:r>
            <w:r>
              <w:rPr>
                <w:rFonts w:ascii="Arial" w:hAnsi="Arial" w:eastAsia="宋体" w:cs="Arial"/>
                <w:color w:val="auto"/>
                <w:kern w:val="0"/>
                <w:sz w:val="21"/>
                <w:szCs w:val="21"/>
              </w:rPr>
              <w:t>给</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收到发票后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20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个工作日</w:t>
            </w:r>
            <w:r>
              <w:rPr>
                <w:rFonts w:ascii="Arial" w:hAnsi="Arial" w:eastAsia="宋体" w:cs="Arial"/>
                <w:color w:val="auto"/>
                <w:kern w:val="0"/>
                <w:sz w:val="21"/>
                <w:szCs w:val="21"/>
              </w:rPr>
              <w:t>内</w:t>
            </w:r>
            <w:r>
              <w:rPr>
                <w:rFonts w:hint="eastAsia" w:ascii="Arial" w:hAnsi="Arial" w:eastAsia="宋体" w:cs="Arial"/>
                <w:color w:val="auto"/>
                <w:kern w:val="0"/>
                <w:sz w:val="21"/>
                <w:szCs w:val="21"/>
              </w:rPr>
              <w:t>办理</w:t>
            </w:r>
            <w:r>
              <w:rPr>
                <w:rFonts w:ascii="Arial" w:hAnsi="Arial" w:eastAsia="宋体" w:cs="Arial"/>
                <w:color w:val="auto"/>
                <w:kern w:val="0"/>
                <w:sz w:val="21"/>
                <w:szCs w:val="21"/>
              </w:rPr>
              <w:t>支付手续</w:t>
            </w:r>
            <w:r>
              <w:rPr>
                <w:rFonts w:cs="Arial" w:asciiTheme="majorEastAsia" w:hAnsiTheme="majorEastAsia" w:eastAsiaTheme="majorEastAsia"/>
                <w:color w:val="auto"/>
                <w:kern w:val="0"/>
                <w:sz w:val="21"/>
                <w:szCs w:val="21"/>
              </w:rPr>
              <w:t>。</w:t>
            </w:r>
            <w:r>
              <w:rPr>
                <w:rFonts w:hint="eastAsia" w:cs="Arial" w:asciiTheme="majorEastAsia" w:hAnsiTheme="majorEastAsia" w:eastAsiaTheme="majorEastAsia"/>
                <w:color w:val="auto"/>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1BEFAF08">
            <w:pPr>
              <w:pStyle w:val="4"/>
              <w:spacing w:line="360" w:lineRule="auto"/>
              <w:rPr>
                <w:rFonts w:hint="eastAsia" w:cs="Times New Roman"/>
                <w:b w:val="0"/>
                <w:bCs w:val="0"/>
                <w:color w:val="auto"/>
                <w:sz w:val="21"/>
                <w:szCs w:val="21"/>
                <w:lang w:val="en-US" w:eastAsia="zh-CN"/>
              </w:rPr>
            </w:pPr>
            <w:r>
              <w:rPr>
                <w:rFonts w:hint="eastAsia" w:ascii="Arial" w:hAnsi="Arial" w:eastAsia="宋体" w:cs="Arial"/>
                <w:b w:val="0"/>
                <w:bCs w:val="0"/>
                <w:color w:val="auto"/>
                <w:kern w:val="0"/>
                <w:sz w:val="21"/>
                <w:szCs w:val="21"/>
                <w:lang w:val="en-US" w:eastAsia="zh-CN"/>
              </w:rPr>
              <w:t>5.</w:t>
            </w:r>
            <w:r>
              <w:rPr>
                <w:rFonts w:hint="eastAsia" w:cs="Times New Roman"/>
                <w:b w:val="0"/>
                <w:bCs w:val="0"/>
                <w:color w:val="auto"/>
                <w:sz w:val="21"/>
                <w:szCs w:val="21"/>
                <w:lang w:val="en-US" w:eastAsia="zh-CN"/>
              </w:rPr>
              <w:t>验收要求</w:t>
            </w:r>
          </w:p>
          <w:p w14:paraId="4FB52340">
            <w:pPr>
              <w:pStyle w:val="4"/>
              <w:rPr>
                <w:rFonts w:hint="eastAsia" w:cs="Times New Roman"/>
                <w:color w:val="auto"/>
                <w:sz w:val="21"/>
                <w:szCs w:val="21"/>
                <w:lang w:val="en-US" w:eastAsia="zh-CN"/>
              </w:rPr>
            </w:pPr>
            <w:r>
              <w:rPr>
                <w:rFonts w:hint="eastAsia" w:cs="Times New Roman"/>
                <w:color w:val="auto"/>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14837128">
            <w:pPr>
              <w:pStyle w:val="4"/>
              <w:rPr>
                <w:rFonts w:hint="eastAsia" w:cs="Times New Roman"/>
                <w:color w:val="auto"/>
                <w:sz w:val="21"/>
                <w:szCs w:val="21"/>
                <w:lang w:val="en-US" w:eastAsia="zh-CN"/>
              </w:rPr>
            </w:pPr>
            <w:r>
              <w:rPr>
                <w:rFonts w:hint="eastAsia" w:cs="Times New Roman"/>
                <w:color w:val="auto"/>
                <w:sz w:val="21"/>
                <w:szCs w:val="21"/>
                <w:lang w:val="en-US" w:eastAsia="zh-CN"/>
              </w:rPr>
              <w:t>（2）中标报价人须确保货物为原制造商制造（或原厂组装）的全新产品，，无侵权行为、表面无划损、无任何缺陷隐患，在中国境内可依常规安全合法使用。</w:t>
            </w:r>
          </w:p>
          <w:p w14:paraId="29FF7073">
            <w:pPr>
              <w:pStyle w:val="4"/>
              <w:rPr>
                <w:rFonts w:hint="eastAsia" w:cs="Times New Roman"/>
                <w:color w:val="auto"/>
                <w:sz w:val="21"/>
                <w:szCs w:val="21"/>
                <w:lang w:val="en-US" w:eastAsia="zh-CN"/>
              </w:rPr>
            </w:pPr>
            <w:r>
              <w:rPr>
                <w:rFonts w:hint="eastAsia" w:cs="Times New Roman"/>
                <w:color w:val="auto"/>
                <w:sz w:val="21"/>
                <w:szCs w:val="21"/>
                <w:lang w:val="en-US" w:eastAsia="zh-CN"/>
              </w:rPr>
              <w:t>（3）供货时中标报价人应将关键货物的用户手册、保修手册、有关单证资料及配备件等交付给采购人，使用操作及安全须知等重要资料应附有中文说明。</w:t>
            </w:r>
          </w:p>
          <w:p w14:paraId="0308360E">
            <w:pPr>
              <w:pStyle w:val="4"/>
              <w:rPr>
                <w:rFonts w:hint="eastAsia" w:cs="Times New Roman"/>
                <w:color w:val="auto"/>
                <w:sz w:val="21"/>
                <w:szCs w:val="21"/>
                <w:lang w:val="en-US" w:eastAsia="zh-CN"/>
              </w:rPr>
            </w:pPr>
            <w:r>
              <w:rPr>
                <w:rFonts w:hint="eastAsia" w:cs="Times New Roman"/>
                <w:color w:val="auto"/>
                <w:sz w:val="21"/>
                <w:szCs w:val="21"/>
                <w:lang w:val="en-US" w:eastAsia="zh-CN"/>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含运行产生全部费用）由中标报价人承担。</w:t>
            </w:r>
          </w:p>
          <w:p w14:paraId="635046FD">
            <w:pPr>
              <w:pStyle w:val="4"/>
              <w:rPr>
                <w:rFonts w:hint="eastAsia" w:cs="Times New Roman"/>
                <w:color w:val="auto"/>
                <w:sz w:val="21"/>
                <w:szCs w:val="21"/>
                <w:lang w:val="en-US" w:eastAsia="zh-CN"/>
              </w:rPr>
            </w:pPr>
            <w:r>
              <w:rPr>
                <w:rFonts w:hint="eastAsia" w:cs="Times New Roman"/>
                <w:color w:val="auto"/>
                <w:sz w:val="21"/>
                <w:szCs w:val="21"/>
                <w:lang w:val="en-US" w:eastAsia="zh-CN"/>
              </w:rPr>
              <w:t>（5）中标报价人必须依照采购文件的要求和应标文件的承诺，将设备、系统安装并调试至正常运行的最佳状态，并完成采购人的人员培训方可申请采购人正式验收。</w:t>
            </w:r>
          </w:p>
          <w:p w14:paraId="22BF08CC">
            <w:pPr>
              <w:pStyle w:val="4"/>
              <w:rPr>
                <w:rFonts w:hint="eastAsia" w:cs="Times New Roman"/>
                <w:color w:val="auto"/>
                <w:sz w:val="21"/>
                <w:szCs w:val="21"/>
                <w:lang w:val="en-US" w:eastAsia="zh-CN"/>
              </w:rPr>
            </w:pPr>
            <w:r>
              <w:rPr>
                <w:rFonts w:hint="eastAsia" w:cs="Times New Roman"/>
                <w:color w:val="auto"/>
                <w:sz w:val="21"/>
                <w:szCs w:val="21"/>
                <w:lang w:val="en-US" w:eastAsia="zh-CN"/>
              </w:rPr>
              <w:t>（6）采购人有权委托第三方进行履约验收，履约验收费用（含运行耗材、验收专家费等全部费用）由中标报价人支付。报价人在报价时自行考虑。</w:t>
            </w:r>
          </w:p>
          <w:p w14:paraId="2797AAEF">
            <w:pPr>
              <w:snapToGrid w:val="0"/>
              <w:spacing w:line="276" w:lineRule="auto"/>
              <w:rPr>
                <w:rFonts w:hint="eastAsia" w:cs="Times New Roman"/>
                <w:color w:val="auto"/>
                <w:sz w:val="21"/>
                <w:szCs w:val="21"/>
                <w:lang w:val="en-US" w:eastAsia="zh-CN"/>
              </w:rPr>
            </w:pPr>
            <w:r>
              <w:rPr>
                <w:rFonts w:hint="eastAsia" w:cs="Times New Roman"/>
                <w:color w:val="auto"/>
                <w:sz w:val="21"/>
                <w:szCs w:val="21"/>
                <w:lang w:val="en-US" w:eastAsia="zh-CN"/>
              </w:rPr>
              <w:t>（7）中标</w:t>
            </w:r>
            <w:r>
              <w:rPr>
                <w:rFonts w:hint="eastAsia" w:ascii="宋体" w:hAnsi="宋体"/>
                <w:kern w:val="0"/>
                <w:szCs w:val="22"/>
                <w:lang w:val="en-US" w:eastAsia="zh-CN"/>
              </w:rPr>
              <w:t>报价人</w:t>
            </w:r>
            <w:r>
              <w:rPr>
                <w:rFonts w:ascii="宋体" w:hAnsi="宋体"/>
                <w:kern w:val="0"/>
                <w:szCs w:val="22"/>
              </w:rPr>
              <w:t>完成安装调试后，采购人可以进行累计运行时间不超过72小时的试运行，以确认所供货物（含硬件、软件及服务）功能参数、兼容性及稳定性符合标准达到初验条件，在试运行期间出现问题</w:t>
            </w:r>
            <w:r>
              <w:rPr>
                <w:rFonts w:hint="eastAsia" w:cs="Times New Roman"/>
                <w:color w:val="auto"/>
                <w:sz w:val="21"/>
                <w:szCs w:val="21"/>
                <w:lang w:val="en-US" w:eastAsia="zh-CN"/>
              </w:rPr>
              <w:t>中标</w:t>
            </w:r>
            <w:r>
              <w:rPr>
                <w:rFonts w:hint="eastAsia" w:ascii="宋体" w:hAnsi="宋体"/>
                <w:kern w:val="0"/>
                <w:szCs w:val="22"/>
                <w:lang w:val="en-US" w:eastAsia="zh-CN"/>
              </w:rPr>
              <w:t>报价人</w:t>
            </w:r>
            <w:r>
              <w:rPr>
                <w:rFonts w:ascii="宋体" w:hAnsi="宋体"/>
                <w:kern w:val="0"/>
                <w:szCs w:val="22"/>
              </w:rPr>
              <w:t>应在接到采购人书面反馈后三日内解决，在解决问题前此项目仍视为尚未完成安装调试。如造成最终验收合格交付时间超过合同约定的按合同相关条款执行。</w:t>
            </w:r>
          </w:p>
          <w:p w14:paraId="48A509D8">
            <w:pPr>
              <w:pStyle w:val="4"/>
              <w:rPr>
                <w:rFonts w:asciiTheme="minorEastAsia" w:hAnsiTheme="minorEastAsia"/>
                <w:kern w:val="0"/>
                <w:sz w:val="24"/>
                <w:szCs w:val="24"/>
              </w:rPr>
            </w:pPr>
            <w:r>
              <w:rPr>
                <w:rFonts w:hint="eastAsia" w:cs="Times New Roman"/>
                <w:color w:val="auto"/>
                <w:sz w:val="21"/>
                <w:szCs w:val="21"/>
                <w:lang w:val="en-US" w:eastAsia="zh-CN"/>
              </w:rPr>
              <w:t>如果验收时中标报价人所提供设备达不到采购项目的技术需求，在整改期限20日内中标报价人仍无法提供满足项目技术要求的设备，采购人可以终止项目，中标报价人须承担相应违约责任。</w:t>
            </w:r>
          </w:p>
        </w:tc>
      </w:tr>
    </w:tbl>
    <w:p w14:paraId="08875A4E">
      <w:pPr>
        <w:pStyle w:val="4"/>
      </w:pPr>
    </w:p>
    <w:p w14:paraId="1CC9FA73">
      <w:pPr>
        <w:widowControl/>
        <w:adjustRightInd w:val="0"/>
        <w:snapToGrid w:val="0"/>
        <w:spacing w:line="360" w:lineRule="auto"/>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四、</w:t>
      </w:r>
      <w:r>
        <w:rPr>
          <w:rFonts w:ascii="Arial" w:hAnsi="Arial" w:eastAsia="宋体" w:cs="Arial"/>
          <w:color w:val="000000"/>
          <w:kern w:val="0"/>
          <w:sz w:val="24"/>
          <w:szCs w:val="24"/>
        </w:rPr>
        <w:t>报价人须知：（以下要求报价</w:t>
      </w:r>
      <w:r>
        <w:rPr>
          <w:rFonts w:hint="eastAsia" w:ascii="Arial" w:hAnsi="Arial" w:eastAsia="宋体" w:cs="Arial"/>
          <w:color w:val="000000"/>
          <w:kern w:val="0"/>
          <w:sz w:val="24"/>
          <w:szCs w:val="24"/>
          <w:lang w:val="en-US" w:eastAsia="zh-CN"/>
        </w:rPr>
        <w:t>人</w:t>
      </w:r>
      <w:r>
        <w:rPr>
          <w:rFonts w:ascii="Arial" w:hAnsi="Arial" w:eastAsia="宋体" w:cs="Arial"/>
          <w:color w:val="000000"/>
          <w:kern w:val="0"/>
          <w:sz w:val="24"/>
          <w:szCs w:val="24"/>
        </w:rPr>
        <w:t>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4"/>
        <w:numPr>
          <w:ilvl w:val="0"/>
          <w:numId w:val="2"/>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color w:val="auto"/>
          <w:sz w:val="24"/>
          <w:szCs w:val="24"/>
          <w:highlight w:val="none"/>
          <w:lang w:val="en-US" w:eastAsia="zh-CN"/>
        </w:rPr>
        <w:t>一式两份，</w:t>
      </w:r>
      <w:r>
        <w:rPr>
          <w:rFonts w:hint="eastAsia" w:asciiTheme="majorEastAsia" w:hAnsiTheme="majorEastAsia" w:eastAsiaTheme="majorEastAsia" w:cstheme="majorEastAsia"/>
          <w:b/>
          <w:bCs/>
          <w:color w:val="auto"/>
          <w:sz w:val="24"/>
          <w:szCs w:val="24"/>
          <w:highlight w:val="none"/>
        </w:rPr>
        <w:t>正本一份、副本</w:t>
      </w:r>
      <w:r>
        <w:rPr>
          <w:rFonts w:hint="eastAsia" w:asciiTheme="majorEastAsia" w:hAnsiTheme="majorEastAsia" w:eastAsiaTheme="majorEastAsia" w:cstheme="majorEastAsia"/>
          <w:b/>
          <w:bCs/>
          <w:color w:val="auto"/>
          <w:sz w:val="24"/>
          <w:szCs w:val="24"/>
          <w:highlight w:val="none"/>
          <w:lang w:val="en-US" w:eastAsia="zh-CN"/>
        </w:rPr>
        <w:t>一</w:t>
      </w:r>
      <w:r>
        <w:rPr>
          <w:rFonts w:hint="eastAsia" w:asciiTheme="majorEastAsia" w:hAnsiTheme="majorEastAsia" w:eastAsiaTheme="majorEastAsia" w:cstheme="majorEastAsia"/>
          <w:b/>
          <w:bCs/>
          <w:color w:val="auto"/>
          <w:sz w:val="24"/>
          <w:szCs w:val="24"/>
          <w:highlight w:val="none"/>
        </w:rPr>
        <w:t>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2"/>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26</w:t>
      </w:r>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9</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9</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3"/>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Cs/>
          <w:kern w:val="0"/>
          <w:sz w:val="24"/>
          <w:szCs w:val="28"/>
          <w:lang w:val="en-US" w:eastAsia="zh-CN" w:bidi="en-US"/>
        </w:rPr>
        <w:t>闫老师</w:t>
      </w:r>
      <w:r>
        <w:rPr>
          <w:rFonts w:hint="eastAsia" w:asciiTheme="majorEastAsia" w:hAnsiTheme="majorEastAsia" w:eastAsiaTheme="majorEastAsia" w:cstheme="majorEastAsia"/>
          <w:b/>
          <w:bCs/>
          <w:kern w:val="0"/>
          <w:sz w:val="24"/>
          <w:szCs w:val="28"/>
          <w:lang w:bidi="en-US"/>
        </w:rPr>
        <w:t xml:space="preserve">     </w:t>
      </w:r>
      <w:r>
        <w:rPr>
          <w:rFonts w:hint="eastAsia" w:asciiTheme="majorEastAsia" w:hAnsiTheme="majorEastAsia" w:eastAsiaTheme="majorEastAsia" w:cstheme="majorEastAsia"/>
          <w:bCs/>
          <w:kern w:val="0"/>
          <w:sz w:val="24"/>
          <w:szCs w:val="28"/>
          <w:lang w:val="en-US" w:eastAsia="zh-CN" w:bidi="en-US"/>
        </w:rPr>
        <w:t>联系电话：18007723933。</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390BF1D">
      <w:pPr>
        <w:pStyle w:val="4"/>
        <w:spacing w:line="360" w:lineRule="auto"/>
        <w:rPr>
          <w:rFonts w:ascii="Arial" w:hAnsi="Arial" w:eastAsia="宋体" w:cs="Arial"/>
          <w:kern w:val="0"/>
          <w:sz w:val="24"/>
          <w:szCs w:val="28"/>
        </w:rPr>
      </w:pPr>
    </w:p>
    <w:p w14:paraId="2D2AD8E3">
      <w:pPr>
        <w:pStyle w:val="4"/>
        <w:spacing w:line="360" w:lineRule="auto"/>
      </w:pPr>
    </w:p>
    <w:p w14:paraId="38C7A05D">
      <w:pPr>
        <w:pStyle w:val="4"/>
        <w:spacing w:line="360" w:lineRule="auto"/>
      </w:pPr>
    </w:p>
    <w:p w14:paraId="335E7CA1">
      <w:pPr>
        <w:pStyle w:val="4"/>
        <w:jc w:val="center"/>
        <w:rPr>
          <w:b/>
          <w:sz w:val="44"/>
          <w:szCs w:val="36"/>
        </w:rPr>
      </w:pPr>
    </w:p>
    <w:p w14:paraId="20C1A2BA">
      <w:pPr>
        <w:pStyle w:val="4"/>
        <w:jc w:val="both"/>
        <w:rPr>
          <w:rFonts w:hint="eastAsia"/>
          <w:b/>
          <w:sz w:val="48"/>
          <w:szCs w:val="40"/>
        </w:rPr>
      </w:pPr>
    </w:p>
    <w:p w14:paraId="776272BE">
      <w:pPr>
        <w:pStyle w:val="4"/>
        <w:jc w:val="center"/>
        <w:rPr>
          <w:b/>
          <w:sz w:val="48"/>
          <w:szCs w:val="40"/>
        </w:rPr>
      </w:pPr>
      <w:r>
        <w:rPr>
          <w:rFonts w:hint="eastAsia"/>
          <w:b/>
          <w:sz w:val="48"/>
          <w:szCs w:val="40"/>
        </w:rPr>
        <w:t>报价文件格式</w:t>
      </w:r>
    </w:p>
    <w:p w14:paraId="666830FA">
      <w:pPr>
        <w:pStyle w:val="4"/>
        <w:jc w:val="center"/>
        <w:rPr>
          <w:b/>
          <w:sz w:val="44"/>
          <w:szCs w:val="36"/>
        </w:rPr>
      </w:pPr>
      <w:bookmarkStart w:id="55" w:name="_GoBack"/>
    </w:p>
    <w:p w14:paraId="7A1914C7">
      <w:pPr>
        <w:jc w:val="left"/>
        <w:outlineLvl w:val="1"/>
        <w:rPr>
          <w:rFonts w:ascii="宋体" w:hAnsi="Times New Roman" w:eastAsia="仿宋" w:cs="Times New Roman"/>
          <w:b/>
          <w:sz w:val="36"/>
          <w:szCs w:val="36"/>
        </w:rPr>
      </w:pPr>
      <w:bookmarkStart w:id="0" w:name="_Toc254970556"/>
      <w:bookmarkStart w:id="1" w:name="_Toc107424598"/>
      <w:bookmarkStart w:id="2" w:name="_Toc254970697"/>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bookmarkEnd w:id="55"/>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55BF794">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38943D1B">
      <w:pPr>
        <w:snapToGrid w:val="0"/>
        <w:spacing w:line="276" w:lineRule="auto"/>
        <w:ind w:firstLine="640" w:firstLineChars="200"/>
        <w:jc w:val="left"/>
        <w:rPr>
          <w:rFonts w:hint="eastAsia" w:ascii="宋体" w:hAnsi="宋体" w:eastAsia="仿宋" w:cs="Times New Roman"/>
          <w:bCs/>
          <w:sz w:val="32"/>
          <w:szCs w:val="32"/>
          <w:u w:val="single"/>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4"/>
        <w:jc w:val="center"/>
        <w:rPr>
          <w:b/>
          <w:sz w:val="44"/>
          <w:szCs w:val="36"/>
        </w:rPr>
      </w:pPr>
    </w:p>
    <w:p w14:paraId="5050054A">
      <w:pPr>
        <w:pStyle w:val="4"/>
        <w:jc w:val="center"/>
        <w:rPr>
          <w:b/>
          <w:sz w:val="44"/>
          <w:szCs w:val="36"/>
        </w:rPr>
      </w:pPr>
    </w:p>
    <w:p w14:paraId="3BC4CF70">
      <w:pPr>
        <w:pStyle w:val="4"/>
        <w:jc w:val="center"/>
        <w:rPr>
          <w:b/>
          <w:sz w:val="44"/>
          <w:szCs w:val="36"/>
        </w:rPr>
      </w:pPr>
    </w:p>
    <w:p w14:paraId="7D8AE5B0">
      <w:pPr>
        <w:pStyle w:val="4"/>
        <w:jc w:val="center"/>
        <w:rPr>
          <w:b/>
          <w:sz w:val="44"/>
          <w:szCs w:val="36"/>
        </w:rPr>
      </w:pPr>
    </w:p>
    <w:p w14:paraId="4B76DB4B">
      <w:pPr>
        <w:pStyle w:val="4"/>
        <w:jc w:val="center"/>
        <w:rPr>
          <w:b/>
          <w:sz w:val="44"/>
          <w:szCs w:val="36"/>
        </w:rPr>
      </w:pPr>
    </w:p>
    <w:p w14:paraId="65B627EF">
      <w:pPr>
        <w:pStyle w:val="4"/>
        <w:jc w:val="center"/>
        <w:rPr>
          <w:b/>
          <w:sz w:val="44"/>
          <w:szCs w:val="36"/>
        </w:rPr>
      </w:pPr>
    </w:p>
    <w:p w14:paraId="7A11EE56">
      <w:pPr>
        <w:pStyle w:val="4"/>
        <w:numPr>
          <w:ilvl w:val="0"/>
          <w:numId w:val="4"/>
        </w:numPr>
        <w:jc w:val="left"/>
        <w:rPr>
          <w:rFonts w:hint="eastAsia"/>
          <w:b/>
          <w:sz w:val="36"/>
          <w:szCs w:val="36"/>
        </w:rPr>
      </w:pPr>
      <w:r>
        <w:rPr>
          <w:rFonts w:hint="eastAsia"/>
          <w:b/>
          <w:sz w:val="36"/>
          <w:szCs w:val="36"/>
        </w:rPr>
        <w:t>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22CD5945">
      <w:pPr>
        <w:pStyle w:val="4"/>
        <w:numPr>
          <w:ilvl w:val="0"/>
          <w:numId w:val="0"/>
        </w:numPr>
        <w:jc w:val="left"/>
        <w:rPr>
          <w:rFonts w:hint="eastAsia"/>
          <w:b/>
          <w:sz w:val="36"/>
          <w:szCs w:val="36"/>
        </w:rPr>
      </w:pPr>
    </w:p>
    <w:p w14:paraId="470AC734">
      <w:pPr>
        <w:pStyle w:val="4"/>
        <w:numPr>
          <w:ilvl w:val="0"/>
          <w:numId w:val="0"/>
        </w:numPr>
        <w:jc w:val="left"/>
        <w:rPr>
          <w:rFonts w:hint="eastAsia"/>
          <w:b/>
          <w:sz w:val="36"/>
          <w:szCs w:val="36"/>
        </w:rPr>
      </w:pPr>
    </w:p>
    <w:p w14:paraId="23E8BFE9">
      <w:pPr>
        <w:pStyle w:val="4"/>
        <w:numPr>
          <w:ilvl w:val="0"/>
          <w:numId w:val="0"/>
        </w:numPr>
        <w:jc w:val="left"/>
        <w:rPr>
          <w:rFonts w:hint="eastAsia"/>
          <w:b/>
          <w:sz w:val="36"/>
          <w:szCs w:val="36"/>
        </w:rPr>
      </w:pPr>
    </w:p>
    <w:p w14:paraId="1A62783F">
      <w:pPr>
        <w:pStyle w:val="4"/>
        <w:numPr>
          <w:ilvl w:val="0"/>
          <w:numId w:val="0"/>
        </w:numPr>
        <w:jc w:val="left"/>
        <w:rPr>
          <w:rFonts w:hint="eastAsia"/>
          <w:b/>
          <w:sz w:val="36"/>
          <w:szCs w:val="36"/>
        </w:rPr>
      </w:pPr>
    </w:p>
    <w:p w14:paraId="37870246">
      <w:pPr>
        <w:pStyle w:val="4"/>
        <w:numPr>
          <w:ilvl w:val="0"/>
          <w:numId w:val="0"/>
        </w:numPr>
        <w:jc w:val="left"/>
        <w:rPr>
          <w:rFonts w:hint="eastAsia"/>
          <w:b/>
          <w:sz w:val="36"/>
          <w:szCs w:val="36"/>
        </w:rPr>
      </w:pPr>
    </w:p>
    <w:p w14:paraId="03D6C588">
      <w:pPr>
        <w:pStyle w:val="4"/>
        <w:numPr>
          <w:ilvl w:val="0"/>
          <w:numId w:val="0"/>
        </w:numPr>
        <w:jc w:val="left"/>
        <w:rPr>
          <w:rFonts w:hint="eastAsia"/>
          <w:b/>
          <w:sz w:val="36"/>
          <w:szCs w:val="36"/>
        </w:rPr>
      </w:pPr>
    </w:p>
    <w:p w14:paraId="1E983098">
      <w:pPr>
        <w:pStyle w:val="4"/>
        <w:numPr>
          <w:ilvl w:val="0"/>
          <w:numId w:val="0"/>
        </w:numPr>
        <w:jc w:val="left"/>
        <w:rPr>
          <w:rFonts w:hint="eastAsia"/>
          <w:b/>
          <w:sz w:val="36"/>
          <w:szCs w:val="36"/>
        </w:rPr>
      </w:pPr>
    </w:p>
    <w:p w14:paraId="46464A20">
      <w:pPr>
        <w:pStyle w:val="4"/>
        <w:numPr>
          <w:ilvl w:val="0"/>
          <w:numId w:val="0"/>
        </w:numPr>
        <w:jc w:val="left"/>
        <w:rPr>
          <w:rFonts w:hint="eastAsia"/>
          <w:b/>
          <w:sz w:val="36"/>
          <w:szCs w:val="36"/>
        </w:rPr>
      </w:pPr>
    </w:p>
    <w:p w14:paraId="573B5DE7">
      <w:pPr>
        <w:pStyle w:val="3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4"/>
        <w:rPr>
          <w:sz w:val="24"/>
          <w:szCs w:val="24"/>
        </w:rPr>
      </w:pPr>
    </w:p>
    <w:p w14:paraId="104E28E9">
      <w:pPr>
        <w:pStyle w:val="4"/>
        <w:rPr>
          <w:sz w:val="24"/>
          <w:szCs w:val="24"/>
        </w:rPr>
      </w:pPr>
    </w:p>
    <w:p w14:paraId="6DFC3D17">
      <w:pPr>
        <w:pStyle w:val="4"/>
        <w:rPr>
          <w:sz w:val="24"/>
          <w:szCs w:val="24"/>
        </w:rPr>
      </w:pPr>
    </w:p>
    <w:p w14:paraId="6C6BA235">
      <w:pPr>
        <w:pStyle w:val="4"/>
        <w:rPr>
          <w:sz w:val="24"/>
          <w:szCs w:val="24"/>
        </w:rPr>
      </w:pPr>
    </w:p>
    <w:p w14:paraId="5CD97640">
      <w:pPr>
        <w:pStyle w:val="4"/>
        <w:rPr>
          <w:sz w:val="24"/>
          <w:szCs w:val="24"/>
        </w:rPr>
      </w:pPr>
    </w:p>
    <w:p w14:paraId="06143FD8">
      <w:pPr>
        <w:pStyle w:val="4"/>
        <w:rPr>
          <w:sz w:val="24"/>
          <w:szCs w:val="24"/>
        </w:rPr>
      </w:pPr>
    </w:p>
    <w:p w14:paraId="4D0B5893">
      <w:pPr>
        <w:pStyle w:val="4"/>
        <w:rPr>
          <w:sz w:val="24"/>
          <w:szCs w:val="24"/>
        </w:rPr>
      </w:pPr>
    </w:p>
    <w:p w14:paraId="1771D750">
      <w:pPr>
        <w:pStyle w:val="4"/>
        <w:rPr>
          <w:sz w:val="24"/>
          <w:szCs w:val="24"/>
        </w:rPr>
      </w:pPr>
    </w:p>
    <w:p w14:paraId="194A9E8B">
      <w:pPr>
        <w:pStyle w:val="4"/>
        <w:rPr>
          <w:sz w:val="24"/>
          <w:szCs w:val="24"/>
        </w:rPr>
      </w:pPr>
    </w:p>
    <w:p w14:paraId="7C13A348">
      <w:pPr>
        <w:pStyle w:val="4"/>
        <w:rPr>
          <w:sz w:val="24"/>
          <w:szCs w:val="24"/>
        </w:rPr>
      </w:pPr>
    </w:p>
    <w:p w14:paraId="234CF384">
      <w:pPr>
        <w:pStyle w:val="4"/>
        <w:rPr>
          <w:sz w:val="24"/>
          <w:szCs w:val="24"/>
        </w:rPr>
      </w:pPr>
    </w:p>
    <w:p w14:paraId="5925F701">
      <w:pPr>
        <w:pStyle w:val="4"/>
        <w:rPr>
          <w:sz w:val="24"/>
          <w:szCs w:val="24"/>
        </w:rPr>
      </w:pPr>
    </w:p>
    <w:p w14:paraId="552CFC52">
      <w:pPr>
        <w:pStyle w:val="4"/>
        <w:rPr>
          <w:sz w:val="24"/>
          <w:szCs w:val="24"/>
        </w:rPr>
      </w:pPr>
    </w:p>
    <w:p w14:paraId="6BEF4C5C">
      <w:pPr>
        <w:pStyle w:val="4"/>
        <w:rPr>
          <w:sz w:val="24"/>
          <w:szCs w:val="24"/>
        </w:rPr>
      </w:pPr>
    </w:p>
    <w:p w14:paraId="67DA8AC9">
      <w:pPr>
        <w:pStyle w:val="4"/>
        <w:rPr>
          <w:sz w:val="24"/>
          <w:szCs w:val="24"/>
        </w:rPr>
      </w:pPr>
    </w:p>
    <w:p w14:paraId="5A4810C3">
      <w:pPr>
        <w:pStyle w:val="4"/>
        <w:rPr>
          <w:sz w:val="24"/>
          <w:szCs w:val="24"/>
        </w:rPr>
      </w:pPr>
    </w:p>
    <w:p w14:paraId="12D0D3DC">
      <w:pPr>
        <w:pStyle w:val="4"/>
        <w:rPr>
          <w:sz w:val="24"/>
          <w:szCs w:val="24"/>
        </w:rPr>
      </w:pPr>
    </w:p>
    <w:p w14:paraId="7AC96D58">
      <w:pPr>
        <w:pStyle w:val="4"/>
        <w:rPr>
          <w:sz w:val="24"/>
          <w:szCs w:val="24"/>
        </w:rPr>
      </w:pPr>
    </w:p>
    <w:p w14:paraId="438803F8">
      <w:pPr>
        <w:pStyle w:val="4"/>
        <w:rPr>
          <w:sz w:val="24"/>
          <w:szCs w:val="24"/>
        </w:rPr>
      </w:pPr>
    </w:p>
    <w:p w14:paraId="38EFBF24">
      <w:pPr>
        <w:pStyle w:val="4"/>
        <w:rPr>
          <w:sz w:val="24"/>
          <w:szCs w:val="24"/>
        </w:rPr>
      </w:pPr>
    </w:p>
    <w:p w14:paraId="5E18787D">
      <w:pPr>
        <w:pStyle w:val="4"/>
        <w:rPr>
          <w:sz w:val="24"/>
          <w:szCs w:val="24"/>
        </w:rPr>
      </w:pPr>
    </w:p>
    <w:p w14:paraId="50F62FAD">
      <w:pPr>
        <w:pStyle w:val="4"/>
        <w:rPr>
          <w:sz w:val="24"/>
          <w:szCs w:val="24"/>
        </w:rPr>
      </w:pPr>
    </w:p>
    <w:p w14:paraId="7C0A8F47">
      <w:pPr>
        <w:pStyle w:val="4"/>
        <w:rPr>
          <w:sz w:val="24"/>
          <w:szCs w:val="24"/>
        </w:rPr>
      </w:pPr>
    </w:p>
    <w:p w14:paraId="5DBAFC46">
      <w:pPr>
        <w:pStyle w:val="4"/>
        <w:rPr>
          <w:sz w:val="24"/>
          <w:szCs w:val="24"/>
        </w:rPr>
      </w:pPr>
    </w:p>
    <w:p w14:paraId="4AD066AC">
      <w:pPr>
        <w:pStyle w:val="4"/>
        <w:rPr>
          <w:sz w:val="24"/>
          <w:szCs w:val="24"/>
        </w:rPr>
      </w:pPr>
    </w:p>
    <w:p w14:paraId="30C0275E">
      <w:pPr>
        <w:pStyle w:val="4"/>
        <w:rPr>
          <w:sz w:val="24"/>
          <w:szCs w:val="24"/>
        </w:rPr>
      </w:pPr>
    </w:p>
    <w:p w14:paraId="1C14FF84">
      <w:pPr>
        <w:pStyle w:val="4"/>
        <w:rPr>
          <w:sz w:val="24"/>
          <w:szCs w:val="24"/>
        </w:rPr>
      </w:pPr>
    </w:p>
    <w:p w14:paraId="1F6862F8">
      <w:pPr>
        <w:pStyle w:val="4"/>
        <w:rPr>
          <w:sz w:val="24"/>
          <w:szCs w:val="24"/>
        </w:rPr>
      </w:pPr>
    </w:p>
    <w:p w14:paraId="3A8300A8">
      <w:pPr>
        <w:pStyle w:val="4"/>
        <w:rPr>
          <w:sz w:val="24"/>
          <w:szCs w:val="24"/>
        </w:rPr>
      </w:pPr>
    </w:p>
    <w:p w14:paraId="1E57EC9F">
      <w:pPr>
        <w:pStyle w:val="4"/>
        <w:rPr>
          <w:sz w:val="24"/>
          <w:szCs w:val="24"/>
        </w:rPr>
      </w:pPr>
    </w:p>
    <w:p w14:paraId="523C7935">
      <w:pPr>
        <w:pStyle w:val="4"/>
        <w:rPr>
          <w:sz w:val="24"/>
          <w:szCs w:val="24"/>
        </w:rPr>
      </w:pPr>
    </w:p>
    <w:p w14:paraId="20805CD2">
      <w:pPr>
        <w:pStyle w:val="4"/>
        <w:rPr>
          <w:sz w:val="24"/>
          <w:szCs w:val="24"/>
        </w:rPr>
      </w:pPr>
    </w:p>
    <w:p w14:paraId="77464BFD">
      <w:pPr>
        <w:pStyle w:val="4"/>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13248E93">
      <w:pPr>
        <w:jc w:val="left"/>
        <w:outlineLvl w:val="1"/>
        <w:rPr>
          <w:rFonts w:hint="eastAsia"/>
          <w:sz w:val="32"/>
          <w:szCs w:val="32"/>
        </w:rPr>
      </w:pPr>
    </w:p>
    <w:p w14:paraId="6D9A7F2F">
      <w:pPr>
        <w:jc w:val="left"/>
        <w:outlineLvl w:val="1"/>
        <w:rPr>
          <w:rFonts w:hint="eastAsia"/>
          <w:sz w:val="32"/>
          <w:szCs w:val="32"/>
        </w:rPr>
      </w:pPr>
    </w:p>
    <w:p w14:paraId="7299D7E1">
      <w:pPr>
        <w:jc w:val="left"/>
        <w:outlineLvl w:val="1"/>
        <w:rPr>
          <w:rFonts w:hint="eastAsia" w:ascii="仿宋" w:hAnsi="仿宋" w:eastAsia="仿宋" w:cs="Times New Roman"/>
          <w:b/>
          <w:sz w:val="32"/>
          <w:szCs w:val="32"/>
          <w:lang w:val="en-US" w:eastAsia="zh-CN"/>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5"/>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5"/>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5"/>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3CF8767C">
      <w:pPr>
        <w:jc w:val="left"/>
        <w:outlineLvl w:val="1"/>
        <w:rPr>
          <w:rFonts w:hint="eastAsia" w:ascii="仿宋" w:hAnsi="仿宋" w:eastAsia="仿宋" w:cs="Times New Roman"/>
          <w:b/>
          <w:sz w:val="32"/>
          <w:szCs w:val="32"/>
          <w:lang w:val="en-US" w:eastAsia="zh-CN"/>
        </w:rPr>
      </w:pPr>
    </w:p>
    <w:p w14:paraId="3A43F747">
      <w:pPr>
        <w:jc w:val="left"/>
        <w:outlineLvl w:val="1"/>
        <w:rPr>
          <w:rFonts w:hint="eastAsia" w:ascii="仿宋" w:hAnsi="仿宋" w:eastAsia="仿宋" w:cs="Times New Roman"/>
          <w:b/>
          <w:sz w:val="32"/>
          <w:szCs w:val="32"/>
          <w:lang w:val="en-US" w:eastAsia="zh-CN"/>
        </w:rPr>
      </w:pPr>
    </w:p>
    <w:p w14:paraId="2F4072FC">
      <w:pPr>
        <w:jc w:val="left"/>
        <w:outlineLvl w:val="1"/>
        <w:rPr>
          <w:rFonts w:hint="eastAsia" w:ascii="仿宋" w:hAnsi="仿宋" w:eastAsia="仿宋" w:cs="Times New Roman"/>
          <w:b/>
          <w:sz w:val="32"/>
          <w:szCs w:val="32"/>
          <w:lang w:val="en-US" w:eastAsia="zh-CN"/>
        </w:rPr>
      </w:pPr>
    </w:p>
    <w:p w14:paraId="387B35A7">
      <w:pPr>
        <w:jc w:val="left"/>
        <w:outlineLvl w:val="1"/>
        <w:rPr>
          <w:rFonts w:hint="eastAsia" w:ascii="仿宋" w:hAnsi="仿宋" w:eastAsia="仿宋" w:cs="Times New Roman"/>
          <w:b/>
          <w:sz w:val="32"/>
          <w:szCs w:val="32"/>
          <w:lang w:val="en-US" w:eastAsia="zh-CN"/>
        </w:rPr>
      </w:pPr>
    </w:p>
    <w:p w14:paraId="595A470F">
      <w:pPr>
        <w:jc w:val="left"/>
        <w:outlineLvl w:val="1"/>
        <w:rPr>
          <w:rFonts w:hint="eastAsia" w:ascii="仿宋" w:hAnsi="仿宋" w:eastAsia="仿宋" w:cs="Times New Roman"/>
          <w:b/>
          <w:sz w:val="32"/>
          <w:szCs w:val="32"/>
          <w:lang w:val="en-US" w:eastAsia="zh-CN"/>
        </w:rPr>
      </w:pPr>
    </w:p>
    <w:p w14:paraId="70C8BA39">
      <w:pPr>
        <w:jc w:val="left"/>
        <w:outlineLvl w:val="1"/>
        <w:rPr>
          <w:rFonts w:hint="eastAsia" w:ascii="仿宋" w:hAnsi="仿宋" w:eastAsia="仿宋" w:cs="Times New Roman"/>
          <w:b/>
          <w:sz w:val="32"/>
          <w:szCs w:val="32"/>
          <w:lang w:val="en-US" w:eastAsia="zh-CN"/>
        </w:rPr>
      </w:pPr>
    </w:p>
    <w:p w14:paraId="698E0DEE">
      <w:pPr>
        <w:jc w:val="left"/>
        <w:outlineLvl w:val="1"/>
        <w:rPr>
          <w:rFonts w:hint="eastAsia" w:ascii="仿宋" w:hAnsi="仿宋" w:eastAsia="仿宋" w:cs="Times New Roman"/>
          <w:b/>
          <w:sz w:val="32"/>
          <w:szCs w:val="32"/>
          <w:lang w:val="en-US" w:eastAsia="zh-CN"/>
        </w:rPr>
      </w:pPr>
    </w:p>
    <w:p w14:paraId="46E66AA9">
      <w:pPr>
        <w:jc w:val="left"/>
        <w:outlineLvl w:val="1"/>
        <w:rPr>
          <w:rFonts w:hint="eastAsia" w:ascii="仿宋" w:hAnsi="仿宋" w:eastAsia="仿宋" w:cs="Times New Roman"/>
          <w:b/>
          <w:sz w:val="32"/>
          <w:szCs w:val="32"/>
          <w:lang w:val="en-US" w:eastAsia="zh-CN"/>
        </w:rPr>
      </w:pPr>
    </w:p>
    <w:p w14:paraId="2971CC18">
      <w:pPr>
        <w:jc w:val="left"/>
        <w:outlineLvl w:val="1"/>
        <w:rPr>
          <w:rFonts w:hint="eastAsia" w:ascii="仿宋" w:hAnsi="仿宋" w:eastAsia="仿宋" w:cs="Times New Roman"/>
          <w:b/>
          <w:sz w:val="32"/>
          <w:szCs w:val="32"/>
          <w:lang w:val="en-US" w:eastAsia="zh-CN"/>
        </w:rPr>
      </w:pPr>
    </w:p>
    <w:p w14:paraId="16181053">
      <w:pPr>
        <w:jc w:val="left"/>
        <w:outlineLvl w:val="1"/>
        <w:rPr>
          <w:rFonts w:hint="eastAsia" w:ascii="仿宋" w:hAnsi="仿宋" w:eastAsia="仿宋" w:cs="Times New Roman"/>
          <w:b/>
          <w:sz w:val="32"/>
          <w:szCs w:val="32"/>
          <w:lang w:val="en-US" w:eastAsia="zh-CN"/>
        </w:rPr>
      </w:pPr>
    </w:p>
    <w:p w14:paraId="0692CD99">
      <w:pPr>
        <w:jc w:val="left"/>
        <w:outlineLvl w:val="1"/>
        <w:rPr>
          <w:rFonts w:hint="eastAsia" w:ascii="仿宋" w:hAnsi="仿宋" w:eastAsia="仿宋" w:cs="Times New Roman"/>
          <w:b/>
          <w:sz w:val="32"/>
          <w:szCs w:val="32"/>
          <w:lang w:val="en-US" w:eastAsia="zh-CN"/>
        </w:rPr>
      </w:pPr>
    </w:p>
    <w:p w14:paraId="43B834B5">
      <w:pPr>
        <w:jc w:val="left"/>
        <w:outlineLvl w:val="1"/>
        <w:rPr>
          <w:rFonts w:hint="eastAsia" w:ascii="仿宋" w:hAnsi="仿宋" w:eastAsia="仿宋" w:cs="Times New Roman"/>
          <w:b/>
          <w:sz w:val="32"/>
          <w:szCs w:val="32"/>
          <w:lang w:val="en-US" w:eastAsia="zh-CN"/>
        </w:rPr>
      </w:pPr>
    </w:p>
    <w:p w14:paraId="5815AEE3">
      <w:pPr>
        <w:jc w:val="left"/>
        <w:outlineLvl w:val="1"/>
        <w:rPr>
          <w:rFonts w:hint="eastAsia" w:ascii="仿宋" w:hAnsi="仿宋" w:eastAsia="仿宋" w:cs="Times New Roman"/>
          <w:b/>
          <w:sz w:val="32"/>
          <w:szCs w:val="32"/>
          <w:lang w:val="en-US" w:eastAsia="zh-CN"/>
        </w:rPr>
      </w:pPr>
    </w:p>
    <w:p w14:paraId="76C79B48">
      <w:pPr>
        <w:jc w:val="left"/>
        <w:outlineLvl w:val="1"/>
        <w:rPr>
          <w:rFonts w:hint="eastAsia" w:ascii="仿宋" w:hAnsi="仿宋" w:eastAsia="仿宋" w:cs="Times New Roman"/>
          <w:b/>
          <w:sz w:val="32"/>
          <w:szCs w:val="32"/>
          <w:lang w:val="en-US" w:eastAsia="zh-CN"/>
        </w:rPr>
      </w:pPr>
    </w:p>
    <w:p w14:paraId="5C3503BC">
      <w:pPr>
        <w:jc w:val="left"/>
        <w:outlineLvl w:val="1"/>
        <w:rPr>
          <w:rFonts w:hint="eastAsia" w:ascii="仿宋" w:hAnsi="仿宋" w:eastAsia="仿宋" w:cs="Times New Roman"/>
          <w:b/>
          <w:sz w:val="32"/>
          <w:szCs w:val="32"/>
          <w:lang w:val="en-US" w:eastAsia="zh-CN"/>
        </w:rPr>
      </w:pPr>
    </w:p>
    <w:p w14:paraId="1170353B">
      <w:pPr>
        <w:jc w:val="left"/>
        <w:outlineLvl w:val="1"/>
        <w:rPr>
          <w:rFonts w:hint="eastAsia" w:ascii="仿宋" w:hAnsi="仿宋" w:eastAsia="仿宋" w:cs="Times New Roman"/>
          <w:b/>
          <w:sz w:val="32"/>
          <w:szCs w:val="32"/>
          <w:lang w:val="en-US" w:eastAsia="zh-CN"/>
        </w:rPr>
      </w:pPr>
    </w:p>
    <w:p w14:paraId="30004347">
      <w:pPr>
        <w:jc w:val="left"/>
        <w:outlineLvl w:val="1"/>
        <w:rPr>
          <w:rFonts w:hint="eastAsia" w:ascii="仿宋" w:hAnsi="仿宋" w:eastAsia="仿宋" w:cs="Times New Roman"/>
          <w:b/>
          <w:sz w:val="32"/>
          <w:szCs w:val="32"/>
          <w:lang w:val="en-US" w:eastAsia="zh-CN"/>
        </w:rPr>
      </w:pPr>
    </w:p>
    <w:p w14:paraId="25DB6C5C">
      <w:pPr>
        <w:jc w:val="left"/>
        <w:outlineLvl w:val="1"/>
        <w:rPr>
          <w:rFonts w:hint="eastAsia" w:ascii="仿宋" w:hAnsi="仿宋" w:eastAsia="仿宋" w:cs="Times New Roman"/>
          <w:b/>
          <w:sz w:val="32"/>
          <w:szCs w:val="32"/>
          <w:lang w:val="en-US" w:eastAsia="zh-CN"/>
        </w:rPr>
      </w:pPr>
    </w:p>
    <w:p w14:paraId="5C8DAEE5">
      <w:pPr>
        <w:jc w:val="left"/>
        <w:outlineLvl w:val="1"/>
        <w:rPr>
          <w:rFonts w:hint="eastAsia" w:ascii="仿宋" w:hAnsi="仿宋" w:eastAsia="仿宋" w:cs="Times New Roman"/>
          <w:b/>
          <w:sz w:val="32"/>
          <w:szCs w:val="32"/>
          <w:lang w:val="en-US" w:eastAsia="zh-CN"/>
        </w:rPr>
      </w:pPr>
    </w:p>
    <w:p w14:paraId="20D4400F">
      <w:pPr>
        <w:jc w:val="left"/>
        <w:outlineLvl w:val="1"/>
        <w:rPr>
          <w:rFonts w:hint="eastAsia" w:ascii="仿宋" w:hAnsi="仿宋" w:eastAsia="仿宋" w:cs="Times New Roman"/>
          <w:b/>
          <w:sz w:val="32"/>
          <w:szCs w:val="32"/>
          <w:lang w:val="en-US" w:eastAsia="zh-CN"/>
        </w:rPr>
      </w:pPr>
    </w:p>
    <w:p w14:paraId="784BF0A8">
      <w:pPr>
        <w:jc w:val="left"/>
        <w:outlineLvl w:val="1"/>
        <w:rPr>
          <w:rFonts w:hint="eastAsia" w:ascii="仿宋" w:hAnsi="仿宋" w:eastAsia="仿宋" w:cs="Times New Roman"/>
          <w:b/>
          <w:sz w:val="32"/>
          <w:szCs w:val="32"/>
          <w:lang w:val="en-US" w:eastAsia="zh-CN"/>
        </w:rPr>
      </w:pP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4"/>
      </w:pPr>
    </w:p>
    <w:p w14:paraId="24C96315">
      <w:pPr>
        <w:pStyle w:val="4"/>
      </w:pPr>
    </w:p>
    <w:p w14:paraId="7CC10187">
      <w:pPr>
        <w:pStyle w:val="4"/>
      </w:pPr>
    </w:p>
    <w:p w14:paraId="370F17FF">
      <w:pPr>
        <w:pStyle w:val="4"/>
      </w:pPr>
    </w:p>
    <w:p w14:paraId="4F49DCE2">
      <w:pPr>
        <w:pStyle w:val="4"/>
      </w:pPr>
    </w:p>
    <w:p w14:paraId="7C34005B">
      <w:pPr>
        <w:pStyle w:val="4"/>
      </w:pPr>
    </w:p>
    <w:p w14:paraId="5FFA4F5A">
      <w:pPr>
        <w:pStyle w:val="4"/>
      </w:pPr>
    </w:p>
    <w:p w14:paraId="1CDE2E9F">
      <w:pPr>
        <w:pStyle w:val="4"/>
      </w:pPr>
    </w:p>
    <w:p w14:paraId="76D15524">
      <w:pPr>
        <w:pStyle w:val="4"/>
      </w:pPr>
    </w:p>
    <w:p w14:paraId="134DBBD8">
      <w:pPr>
        <w:pStyle w:val="4"/>
      </w:pPr>
    </w:p>
    <w:p w14:paraId="67CE7340">
      <w:pPr>
        <w:pStyle w:val="4"/>
      </w:pPr>
    </w:p>
    <w:p w14:paraId="1550FC44">
      <w:pPr>
        <w:pStyle w:val="4"/>
      </w:pPr>
    </w:p>
    <w:p w14:paraId="30B538CD">
      <w:pPr>
        <w:pStyle w:val="4"/>
      </w:pPr>
    </w:p>
    <w:p w14:paraId="6CB70454">
      <w:pPr>
        <w:pStyle w:val="4"/>
      </w:pPr>
    </w:p>
    <w:p w14:paraId="1EC58313">
      <w:pPr>
        <w:pStyle w:val="4"/>
      </w:pPr>
    </w:p>
    <w:p w14:paraId="46995F7F">
      <w:pPr>
        <w:pStyle w:val="4"/>
      </w:pPr>
    </w:p>
    <w:p w14:paraId="30CE1280">
      <w:pPr>
        <w:pStyle w:val="4"/>
      </w:pPr>
    </w:p>
    <w:p w14:paraId="6CC6FFA9">
      <w:pPr>
        <w:pStyle w:val="4"/>
      </w:pPr>
    </w:p>
    <w:p w14:paraId="19034583">
      <w:pPr>
        <w:pStyle w:val="4"/>
      </w:pPr>
    </w:p>
    <w:p w14:paraId="2001A37E">
      <w:pPr>
        <w:pStyle w:val="4"/>
      </w:pPr>
    </w:p>
    <w:p w14:paraId="64B814F5">
      <w:pPr>
        <w:pStyle w:val="4"/>
      </w:pPr>
    </w:p>
    <w:p w14:paraId="05E0F8B1">
      <w:pPr>
        <w:pStyle w:val="4"/>
      </w:pPr>
    </w:p>
    <w:p w14:paraId="6754634D">
      <w:pPr>
        <w:pStyle w:val="4"/>
      </w:pPr>
    </w:p>
    <w:p w14:paraId="2BA112F2">
      <w:pPr>
        <w:pStyle w:val="4"/>
      </w:pPr>
    </w:p>
    <w:p w14:paraId="3B412973">
      <w:pPr>
        <w:pStyle w:val="4"/>
      </w:pPr>
    </w:p>
    <w:p w14:paraId="0C4ACD0C">
      <w:pPr>
        <w:pStyle w:val="4"/>
      </w:pPr>
    </w:p>
    <w:p w14:paraId="2BD0605E">
      <w:pPr>
        <w:pStyle w:val="4"/>
      </w:pPr>
    </w:p>
    <w:p w14:paraId="291EC429">
      <w:pPr>
        <w:pStyle w:val="4"/>
      </w:pPr>
    </w:p>
    <w:p w14:paraId="7AEAFC8E">
      <w:pPr>
        <w:pStyle w:val="4"/>
      </w:pPr>
    </w:p>
    <w:p w14:paraId="6ECE1708">
      <w:pPr>
        <w:pStyle w:val="4"/>
      </w:pPr>
    </w:p>
    <w:p w14:paraId="7BE08999">
      <w:pPr>
        <w:pStyle w:val="4"/>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4"/>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4C924B99">
      <w:pPr>
        <w:pStyle w:val="4"/>
        <w:jc w:val="center"/>
        <w:rPr>
          <w:b/>
          <w:color w:val="FF0000"/>
        </w:rPr>
      </w:pPr>
    </w:p>
    <w:p w14:paraId="56C6DD38">
      <w:pPr>
        <w:pStyle w:val="4"/>
        <w:jc w:val="center"/>
        <w:rPr>
          <w:b/>
          <w:color w:val="FF0000"/>
        </w:rPr>
      </w:pPr>
    </w:p>
    <w:p w14:paraId="5089C3AD">
      <w:pPr>
        <w:pStyle w:val="4"/>
        <w:jc w:val="center"/>
        <w:rPr>
          <w:b/>
          <w:color w:val="FF0000"/>
        </w:rPr>
      </w:pPr>
    </w:p>
    <w:p w14:paraId="0D88FCB3">
      <w:pPr>
        <w:pStyle w:val="4"/>
        <w:jc w:val="center"/>
        <w:rPr>
          <w:b/>
          <w:color w:val="FF0000"/>
        </w:rPr>
      </w:pPr>
    </w:p>
    <w:p w14:paraId="439DAAC7">
      <w:pPr>
        <w:spacing w:after="120"/>
        <w:jc w:val="left"/>
        <w:rPr>
          <w:b/>
          <w:sz w:val="44"/>
          <w:szCs w:val="36"/>
        </w:rPr>
      </w:pPr>
      <w:r>
        <w:rPr>
          <w:rFonts w:hint="eastAsia"/>
          <w:b/>
          <w:sz w:val="44"/>
          <w:szCs w:val="36"/>
        </w:rPr>
        <w:t>二、商务技术文件格式</w:t>
      </w:r>
    </w:p>
    <w:p w14:paraId="43C06B31">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10788E53">
      <w:pPr>
        <w:spacing w:line="360" w:lineRule="exact"/>
        <w:jc w:val="left"/>
        <w:rPr>
          <w:rFonts w:ascii="仿宋" w:hAnsi="仿宋" w:eastAsia="仿宋"/>
          <w:b/>
          <w:sz w:val="44"/>
          <w:szCs w:val="44"/>
        </w:rPr>
      </w:pPr>
    </w:p>
    <w:p w14:paraId="40E6C2E7">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135740A">
      <w:pPr>
        <w:spacing w:after="120"/>
      </w:pPr>
    </w:p>
    <w:tbl>
      <w:tblPr>
        <w:tblStyle w:val="12"/>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0537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CB45D70">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50F57DEA">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94BDA25">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1F263670">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5F2465F7">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93D3A40">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50D49882">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0AA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4AE201E1">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412669D6">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655DE653">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24819441">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0B20E4C">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6D88F2B6">
            <w:pPr>
              <w:widowControl/>
              <w:jc w:val="center"/>
              <w:textAlignment w:val="center"/>
              <w:rPr>
                <w:rFonts w:ascii="仿宋" w:hAnsi="仿宋" w:eastAsia="仿宋" w:cs="Arial"/>
                <w:bCs/>
                <w:sz w:val="30"/>
                <w:szCs w:val="30"/>
              </w:rPr>
            </w:pPr>
          </w:p>
        </w:tc>
      </w:tr>
      <w:tr w14:paraId="39B3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5E1B15D4">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697EE268">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2E197DA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546234E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6EDD8588">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5E422F88">
            <w:pPr>
              <w:widowControl/>
              <w:jc w:val="center"/>
              <w:textAlignment w:val="center"/>
              <w:rPr>
                <w:rFonts w:ascii="仿宋" w:hAnsi="仿宋" w:eastAsia="仿宋" w:cs="Arial"/>
                <w:bCs/>
                <w:sz w:val="30"/>
                <w:szCs w:val="30"/>
              </w:rPr>
            </w:pPr>
          </w:p>
        </w:tc>
      </w:tr>
      <w:tr w14:paraId="7B20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07B1F446">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26D59B42">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78E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682F87E3">
            <w:pPr>
              <w:spacing w:line="360" w:lineRule="exact"/>
              <w:jc w:val="left"/>
              <w:rPr>
                <w:rFonts w:hint="eastAsia" w:ascii="仿宋" w:hAnsi="仿宋" w:eastAsia="仿宋" w:cs="Arial"/>
                <w:bCs/>
                <w:sz w:val="30"/>
                <w:szCs w:val="30"/>
                <w:lang w:val="en-US" w:eastAsia="zh-CN"/>
              </w:rPr>
            </w:pPr>
            <w:r>
              <w:rPr>
                <w:rFonts w:hint="eastAsia" w:ascii="仿宋" w:hAnsi="仿宋" w:eastAsia="仿宋" w:cs="Arial"/>
                <w:bCs/>
                <w:sz w:val="30"/>
                <w:szCs w:val="30"/>
                <w:lang w:val="en-US" w:eastAsia="zh-CN"/>
              </w:rPr>
              <w:t>服务交付时间：项目自合同签订之日起</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lang w:val="en-US" w:eastAsia="zh-CN"/>
              </w:rPr>
              <w:t>日内完成项目的系统开发、部署、 安装、调试等全部服务内容。</w:t>
            </w:r>
          </w:p>
          <w:p w14:paraId="67AAA39A">
            <w:pPr>
              <w:spacing w:line="360" w:lineRule="exact"/>
              <w:jc w:val="left"/>
              <w:rPr>
                <w:rFonts w:hint="eastAsia" w:ascii="仿宋" w:hAnsi="仿宋" w:eastAsia="仿宋" w:cs="Arial"/>
                <w:bCs/>
                <w:sz w:val="30"/>
                <w:szCs w:val="30"/>
                <w:lang w:val="en-US" w:eastAsia="zh-CN"/>
              </w:rPr>
            </w:pPr>
            <w:r>
              <w:rPr>
                <w:rFonts w:hint="eastAsia" w:ascii="仿宋" w:hAnsi="仿宋" w:eastAsia="仿宋" w:cs="Arial"/>
                <w:bCs/>
                <w:sz w:val="30"/>
                <w:szCs w:val="30"/>
                <w:lang w:val="en-US" w:eastAsia="zh-CN"/>
              </w:rPr>
              <w:t>服务质保期：</w:t>
            </w:r>
            <w:r>
              <w:rPr>
                <w:rFonts w:hint="eastAsia" w:ascii="仿宋" w:hAnsi="仿宋" w:eastAsia="仿宋" w:cs="Arial"/>
                <w:bCs/>
                <w:sz w:val="30"/>
                <w:szCs w:val="30"/>
              </w:rPr>
              <w:t>自</w:t>
            </w:r>
            <w:r>
              <w:rPr>
                <w:rFonts w:hint="eastAsia" w:ascii="仿宋" w:hAnsi="仿宋" w:eastAsia="仿宋" w:cs="Arial"/>
                <w:bCs/>
                <w:sz w:val="30"/>
                <w:szCs w:val="30"/>
                <w:lang w:val="en-US" w:eastAsia="zh-CN"/>
              </w:rPr>
              <w:t>服务内容</w:t>
            </w:r>
            <w:r>
              <w:rPr>
                <w:rFonts w:hint="eastAsia" w:ascii="仿宋" w:hAnsi="仿宋" w:eastAsia="仿宋" w:cs="Arial"/>
                <w:bCs/>
                <w:sz w:val="30"/>
                <w:szCs w:val="30"/>
              </w:rPr>
              <w:t>验收</w:t>
            </w:r>
            <w:r>
              <w:rPr>
                <w:rFonts w:hint="eastAsia" w:ascii="仿宋" w:hAnsi="仿宋" w:eastAsia="仿宋" w:cs="Arial"/>
                <w:bCs/>
                <w:sz w:val="30"/>
                <w:szCs w:val="30"/>
                <w:lang w:val="en-US" w:eastAsia="zh-CN"/>
              </w:rPr>
              <w:t>合格之日</w:t>
            </w:r>
            <w:r>
              <w:rPr>
                <w:rFonts w:hint="eastAsia" w:ascii="仿宋" w:hAnsi="仿宋" w:eastAsia="仿宋" w:cs="Arial"/>
                <w:bCs/>
                <w:sz w:val="30"/>
                <w:szCs w:val="30"/>
              </w:rPr>
              <w:t>起</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rPr>
              <w:t>年的免费质保与技术支持。</w:t>
            </w:r>
          </w:p>
          <w:p w14:paraId="6A71BB86">
            <w:pPr>
              <w:pStyle w:val="4"/>
            </w:pPr>
          </w:p>
        </w:tc>
      </w:tr>
    </w:tbl>
    <w:p w14:paraId="7EF258AB">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6D2CBCC">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法定代表人（负责人）或委托代理人（签字）:</w:t>
      </w:r>
      <w:r>
        <w:rPr>
          <w:rFonts w:ascii="仿宋" w:hAnsi="仿宋" w:eastAsia="仿宋" w:cs="Arial"/>
          <w:sz w:val="30"/>
          <w:szCs w:val="30"/>
          <w:u w:val="single"/>
        </w:rPr>
        <w:t xml:space="preserve">                          </w:t>
      </w:r>
    </w:p>
    <w:p w14:paraId="3D428F58">
      <w:pPr>
        <w:spacing w:line="276" w:lineRule="auto"/>
        <w:jc w:val="left"/>
        <w:rPr>
          <w:rFonts w:ascii="仿宋" w:hAnsi="仿宋" w:eastAsia="仿宋" w:cs="Arial"/>
          <w:sz w:val="30"/>
          <w:szCs w:val="30"/>
          <w:u w:val="single"/>
        </w:rPr>
      </w:pPr>
      <w:r>
        <w:rPr>
          <w:rFonts w:hint="eastAsia" w:ascii="仿宋" w:hAnsi="仿宋" w:eastAsia="仿宋" w:cs="Arial"/>
          <w:sz w:val="30"/>
          <w:szCs w:val="30"/>
        </w:rPr>
        <w:t>地址：</w:t>
      </w:r>
      <w:r>
        <w:rPr>
          <w:rFonts w:ascii="仿宋" w:hAnsi="仿宋" w:eastAsia="仿宋" w:cs="Arial"/>
          <w:sz w:val="30"/>
          <w:szCs w:val="30"/>
          <w:u w:val="single"/>
        </w:rPr>
        <w:t xml:space="preserve">                          </w:t>
      </w:r>
      <w:r>
        <w:rPr>
          <w:rFonts w:hint="eastAsia" w:ascii="仿宋" w:hAnsi="仿宋" w:eastAsia="仿宋" w:cs="Arial"/>
          <w:sz w:val="30"/>
          <w:szCs w:val="30"/>
        </w:rPr>
        <w:t>电话：</w:t>
      </w:r>
      <w:r>
        <w:rPr>
          <w:rFonts w:ascii="仿宋" w:hAnsi="仿宋" w:eastAsia="仿宋" w:cs="Arial"/>
          <w:sz w:val="30"/>
          <w:szCs w:val="30"/>
          <w:u w:val="single"/>
        </w:rPr>
        <w:t xml:space="preserve">                             </w:t>
      </w:r>
    </w:p>
    <w:p w14:paraId="1B31C344">
      <w:pPr>
        <w:spacing w:line="276" w:lineRule="auto"/>
        <w:jc w:val="left"/>
        <w:rPr>
          <w:rFonts w:ascii="仿宋" w:hAnsi="仿宋" w:eastAsia="仿宋" w:cs="Arial"/>
          <w:sz w:val="30"/>
          <w:szCs w:val="30"/>
        </w:rPr>
      </w:pPr>
      <w:r>
        <w:rPr>
          <w:rFonts w:hint="eastAsia" w:ascii="仿宋" w:hAnsi="仿宋" w:eastAsia="仿宋" w:cs="Arial"/>
          <w:sz w:val="30"/>
          <w:szCs w:val="30"/>
        </w:rPr>
        <w:t>转账全称：</w:t>
      </w:r>
      <w:r>
        <w:rPr>
          <w:rFonts w:ascii="仿宋" w:hAnsi="仿宋" w:eastAsia="仿宋" w:cs="Arial"/>
          <w:sz w:val="30"/>
          <w:szCs w:val="30"/>
          <w:u w:val="single"/>
        </w:rPr>
        <w:t xml:space="preserve">                            </w:t>
      </w:r>
      <w:r>
        <w:rPr>
          <w:rFonts w:hint="eastAsia" w:ascii="仿宋" w:hAnsi="仿宋" w:eastAsia="仿宋" w:cs="Arial"/>
          <w:sz w:val="30"/>
          <w:szCs w:val="30"/>
        </w:rPr>
        <w:t>对公账号：</w:t>
      </w:r>
      <w:r>
        <w:rPr>
          <w:rFonts w:ascii="仿宋" w:hAnsi="仿宋" w:eastAsia="仿宋" w:cs="Arial"/>
          <w:sz w:val="30"/>
          <w:szCs w:val="30"/>
          <w:u w:val="single"/>
        </w:rPr>
        <w:t xml:space="preserve">                                                      </w:t>
      </w:r>
    </w:p>
    <w:p w14:paraId="1774BE5E">
      <w:pPr>
        <w:spacing w:line="276" w:lineRule="auto"/>
        <w:jc w:val="left"/>
        <w:rPr>
          <w:rFonts w:ascii="仿宋" w:hAnsi="仿宋" w:eastAsia="仿宋" w:cs="Arial"/>
          <w:sz w:val="30"/>
          <w:szCs w:val="30"/>
          <w:u w:val="single"/>
        </w:rPr>
      </w:pPr>
      <w:r>
        <w:rPr>
          <w:rFonts w:hint="eastAsia" w:ascii="仿宋" w:hAnsi="仿宋" w:eastAsia="仿宋" w:cs="Arial"/>
          <w:sz w:val="30"/>
          <w:szCs w:val="30"/>
        </w:rPr>
        <w:t>开户行：</w:t>
      </w:r>
      <w:r>
        <w:rPr>
          <w:rFonts w:ascii="仿宋" w:hAnsi="仿宋" w:eastAsia="仿宋" w:cs="Arial"/>
          <w:sz w:val="30"/>
          <w:szCs w:val="30"/>
          <w:u w:val="single"/>
        </w:rPr>
        <w:t xml:space="preserve">                              </w:t>
      </w:r>
    </w:p>
    <w:p w14:paraId="02F04E8B">
      <w:pPr>
        <w:widowControl/>
        <w:adjustRightInd w:val="0"/>
        <w:snapToGrid w:val="0"/>
        <w:spacing w:line="360" w:lineRule="auto"/>
        <w:jc w:val="left"/>
        <w:rPr>
          <w:rFonts w:ascii="仿宋" w:hAnsi="仿宋" w:eastAsia="仿宋" w:cs="Arial"/>
          <w:color w:val="000000"/>
          <w:kern w:val="0"/>
          <w:sz w:val="30"/>
          <w:szCs w:val="30"/>
        </w:rPr>
      </w:pPr>
    </w:p>
    <w:p w14:paraId="322F18C5">
      <w:pPr>
        <w:spacing w:after="120"/>
        <w:jc w:val="left"/>
        <w:rPr>
          <w:rFonts w:ascii="宋体" w:hAnsi="宋体" w:cs="宋体"/>
          <w:b/>
          <w:sz w:val="28"/>
        </w:rPr>
      </w:pPr>
    </w:p>
    <w:p w14:paraId="582E01AA">
      <w:pPr>
        <w:spacing w:after="120"/>
        <w:jc w:val="left"/>
        <w:rPr>
          <w:rFonts w:ascii="宋体" w:hAnsi="宋体" w:cs="宋体"/>
          <w:b/>
          <w:sz w:val="28"/>
        </w:rPr>
      </w:pPr>
    </w:p>
    <w:p w14:paraId="0DB1049F">
      <w:pPr>
        <w:spacing w:after="120"/>
        <w:jc w:val="left"/>
        <w:rPr>
          <w:rFonts w:ascii="宋体" w:hAnsi="宋体" w:cs="宋体"/>
          <w:b/>
          <w:sz w:val="28"/>
        </w:rPr>
      </w:pPr>
    </w:p>
    <w:p w14:paraId="6EEBB619">
      <w:pPr>
        <w:spacing w:after="120"/>
        <w:jc w:val="left"/>
        <w:rPr>
          <w:rFonts w:ascii="宋体" w:hAnsi="宋体" w:cs="宋体"/>
          <w:b/>
          <w:sz w:val="28"/>
        </w:rPr>
      </w:pPr>
    </w:p>
    <w:p w14:paraId="3A133203">
      <w:pPr>
        <w:spacing w:after="120"/>
        <w:jc w:val="left"/>
        <w:rPr>
          <w:rFonts w:ascii="宋体" w:hAnsi="宋体" w:cs="宋体"/>
          <w:b/>
          <w:sz w:val="28"/>
        </w:rPr>
      </w:pPr>
    </w:p>
    <w:p w14:paraId="2E84CD3A">
      <w:pPr>
        <w:spacing w:after="120"/>
        <w:jc w:val="left"/>
        <w:rPr>
          <w:rFonts w:ascii="宋体" w:hAnsi="宋体" w:cs="宋体"/>
        </w:rPr>
      </w:pPr>
      <w:r>
        <w:rPr>
          <w:rFonts w:hint="eastAsia" w:ascii="宋体" w:hAnsi="宋体" w:cs="宋体"/>
          <w:b/>
          <w:sz w:val="28"/>
        </w:rPr>
        <w:t>2.商务、技术响应、偏离情况说明表</w:t>
      </w:r>
    </w:p>
    <w:p w14:paraId="11BE94E1">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6900AC6F">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96E82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2CAEA53">
            <w:pPr>
              <w:adjustRightInd w:val="0"/>
              <w:snapToGrid w:val="0"/>
              <w:spacing w:line="300" w:lineRule="auto"/>
              <w:outlineLvl w:val="0"/>
              <w:rPr>
                <w:rFonts w:ascii="宋体" w:hAnsi="宋体"/>
                <w:sz w:val="24"/>
                <w:szCs w:val="24"/>
              </w:rPr>
            </w:pPr>
            <w:bookmarkStart w:id="5" w:name="_Toc254970729"/>
            <w:bookmarkStart w:id="6" w:name="_Toc173211900"/>
            <w:bookmarkStart w:id="7" w:name="_Toc405905876"/>
            <w:bookmarkStart w:id="8" w:name="_Toc254970588"/>
            <w:bookmarkStart w:id="9" w:name="_Toc173066401"/>
            <w:bookmarkStart w:id="10" w:name="_Toc17134957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6CFFF390">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0C46980C">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2A289F4">
            <w:pPr>
              <w:adjustRightInd w:val="0"/>
              <w:snapToGrid w:val="0"/>
              <w:spacing w:line="300" w:lineRule="auto"/>
              <w:jc w:val="center"/>
              <w:outlineLvl w:val="0"/>
              <w:rPr>
                <w:rFonts w:ascii="宋体" w:hAnsi="宋体"/>
                <w:sz w:val="24"/>
                <w:szCs w:val="24"/>
              </w:rPr>
            </w:pPr>
            <w:bookmarkStart w:id="11" w:name="_Toc173211903"/>
            <w:bookmarkStart w:id="12" w:name="_Toc173066404"/>
            <w:bookmarkStart w:id="13" w:name="_Toc171349581"/>
            <w:bookmarkStart w:id="14" w:name="_Toc254970732"/>
            <w:bookmarkStart w:id="15" w:name="_Toc405905879"/>
            <w:bookmarkStart w:id="16" w:name="_Toc25497059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4053AAC9">
            <w:pPr>
              <w:adjustRightInd w:val="0"/>
              <w:snapToGrid w:val="0"/>
              <w:spacing w:line="300" w:lineRule="auto"/>
              <w:jc w:val="center"/>
              <w:outlineLvl w:val="0"/>
              <w:rPr>
                <w:rFonts w:ascii="宋体" w:hAnsi="宋体"/>
                <w:sz w:val="24"/>
                <w:szCs w:val="24"/>
              </w:rPr>
            </w:pPr>
            <w:bookmarkStart w:id="17" w:name="_Toc173066405"/>
            <w:bookmarkStart w:id="18" w:name="_Toc173211904"/>
            <w:bookmarkStart w:id="19" w:name="_Toc405905880"/>
            <w:bookmarkStart w:id="20" w:name="_Toc254970592"/>
            <w:bookmarkStart w:id="21" w:name="_Toc171349582"/>
            <w:bookmarkStart w:id="22" w:name="_Toc254970733"/>
            <w:r>
              <w:rPr>
                <w:rFonts w:hint="eastAsia" w:ascii="宋体" w:hAnsi="宋体"/>
                <w:sz w:val="24"/>
              </w:rPr>
              <w:t>说明</w:t>
            </w:r>
            <w:bookmarkEnd w:id="17"/>
            <w:bookmarkEnd w:id="18"/>
            <w:bookmarkEnd w:id="19"/>
            <w:bookmarkEnd w:id="20"/>
            <w:bookmarkEnd w:id="21"/>
            <w:bookmarkEnd w:id="22"/>
            <w:r>
              <w:rPr>
                <w:rFonts w:hint="eastAsia" w:ascii="宋体" w:hAnsi="宋体"/>
                <w:sz w:val="24"/>
              </w:rPr>
              <w:t>功能截图、相关证书复印件、检测报告所在响应文件页码（如有）</w:t>
            </w:r>
          </w:p>
        </w:tc>
      </w:tr>
      <w:tr w14:paraId="54458F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605FF59">
            <w:pPr>
              <w:adjustRightInd w:val="0"/>
              <w:snapToGrid w:val="0"/>
              <w:spacing w:line="360" w:lineRule="auto"/>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722EB8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C8F943">
            <w:pPr>
              <w:adjustRightInd w:val="0"/>
              <w:snapToGrid w:val="0"/>
              <w:spacing w:line="240" w:lineRule="exact"/>
              <w:jc w:val="center"/>
              <w:outlineLvl w:val="0"/>
              <w:rPr>
                <w:rFonts w:ascii="宋体" w:hAnsi="宋体"/>
                <w:sz w:val="24"/>
                <w:szCs w:val="24"/>
              </w:rPr>
            </w:pPr>
            <w:bookmarkStart w:id="25" w:name="_Toc254970734"/>
            <w:bookmarkStart w:id="26" w:name="_Toc405905882"/>
            <w:bookmarkStart w:id="27" w:name="_Toc173211905"/>
            <w:bookmarkStart w:id="28" w:name="_Toc173066406"/>
            <w:bookmarkStart w:id="29" w:name="_Toc254970593"/>
            <w:bookmarkStart w:id="30" w:name="_Toc17134958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7C462EC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15CB44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6A72CD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DB51F3">
            <w:pPr>
              <w:adjustRightInd w:val="0"/>
              <w:snapToGrid w:val="0"/>
              <w:spacing w:line="240" w:lineRule="exact"/>
              <w:jc w:val="center"/>
              <w:outlineLvl w:val="0"/>
              <w:rPr>
                <w:rFonts w:ascii="宋体" w:hAnsi="宋体"/>
                <w:sz w:val="24"/>
                <w:szCs w:val="24"/>
              </w:rPr>
            </w:pPr>
          </w:p>
        </w:tc>
      </w:tr>
      <w:tr w14:paraId="221FD4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D7D0995">
            <w:pPr>
              <w:adjustRightInd w:val="0"/>
              <w:snapToGrid w:val="0"/>
              <w:spacing w:line="240" w:lineRule="exact"/>
              <w:jc w:val="center"/>
              <w:outlineLvl w:val="0"/>
              <w:rPr>
                <w:rFonts w:ascii="宋体" w:hAnsi="宋体"/>
                <w:sz w:val="24"/>
                <w:szCs w:val="24"/>
              </w:rPr>
            </w:pPr>
            <w:bookmarkStart w:id="31" w:name="_Toc254970735"/>
            <w:bookmarkStart w:id="32" w:name="_Toc254970594"/>
            <w:bookmarkStart w:id="33" w:name="_Toc405905883"/>
            <w:bookmarkStart w:id="34" w:name="_Toc173211906"/>
            <w:bookmarkStart w:id="35" w:name="_Toc173066407"/>
            <w:bookmarkStart w:id="36" w:name="_Toc171349585"/>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10ED62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EF122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312FBE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4A8E5DF">
            <w:pPr>
              <w:adjustRightInd w:val="0"/>
              <w:snapToGrid w:val="0"/>
              <w:spacing w:line="240" w:lineRule="exact"/>
              <w:jc w:val="center"/>
              <w:outlineLvl w:val="0"/>
              <w:rPr>
                <w:rFonts w:ascii="宋体" w:hAnsi="宋体"/>
                <w:sz w:val="24"/>
                <w:szCs w:val="24"/>
              </w:rPr>
            </w:pPr>
          </w:p>
        </w:tc>
      </w:tr>
      <w:tr w14:paraId="17EB31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A30DEC3">
            <w:pPr>
              <w:adjustRightInd w:val="0"/>
              <w:snapToGrid w:val="0"/>
              <w:spacing w:line="240" w:lineRule="exact"/>
              <w:jc w:val="center"/>
              <w:outlineLvl w:val="0"/>
              <w:rPr>
                <w:rFonts w:ascii="宋体" w:hAnsi="宋体"/>
                <w:sz w:val="24"/>
                <w:szCs w:val="24"/>
              </w:rPr>
            </w:pPr>
            <w:bookmarkStart w:id="37" w:name="_Toc173066408"/>
            <w:bookmarkStart w:id="38" w:name="_Toc171349586"/>
            <w:bookmarkStart w:id="39" w:name="_Toc254970595"/>
            <w:bookmarkStart w:id="40" w:name="_Toc405905884"/>
            <w:bookmarkStart w:id="41" w:name="_Toc173211907"/>
            <w:bookmarkStart w:id="42" w:name="_Toc25497073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5FE2F0A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101473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0DAB6B0">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5101CB1">
            <w:pPr>
              <w:adjustRightInd w:val="0"/>
              <w:snapToGrid w:val="0"/>
              <w:spacing w:line="240" w:lineRule="exact"/>
              <w:jc w:val="center"/>
              <w:outlineLvl w:val="0"/>
              <w:rPr>
                <w:rFonts w:ascii="宋体" w:hAnsi="宋体"/>
                <w:sz w:val="24"/>
                <w:szCs w:val="24"/>
              </w:rPr>
            </w:pPr>
          </w:p>
        </w:tc>
      </w:tr>
      <w:tr w14:paraId="29469F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F43A00B">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4227EAD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6F1A982">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2B2B45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E6F0997">
            <w:pPr>
              <w:adjustRightInd w:val="0"/>
              <w:snapToGrid w:val="0"/>
              <w:spacing w:line="240" w:lineRule="exact"/>
              <w:jc w:val="center"/>
              <w:outlineLvl w:val="0"/>
              <w:rPr>
                <w:rFonts w:ascii="宋体" w:hAnsi="宋体"/>
                <w:sz w:val="24"/>
                <w:szCs w:val="24"/>
              </w:rPr>
            </w:pPr>
          </w:p>
        </w:tc>
      </w:tr>
      <w:tr w14:paraId="18CFC3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DF234F1">
            <w:pPr>
              <w:adjustRightInd w:val="0"/>
              <w:snapToGrid w:val="0"/>
              <w:spacing w:line="360" w:lineRule="auto"/>
              <w:jc w:val="center"/>
              <w:outlineLvl w:val="0"/>
              <w:rPr>
                <w:rFonts w:ascii="宋体" w:hAnsi="宋体"/>
                <w:sz w:val="24"/>
                <w:szCs w:val="24"/>
              </w:rPr>
            </w:pPr>
            <w:bookmarkStart w:id="45" w:name="_Toc405905886"/>
            <w:bookmarkStart w:id="46" w:name="_Toc171349588"/>
            <w:r>
              <w:rPr>
                <w:rFonts w:hint="eastAsia" w:ascii="宋体" w:hAnsi="宋体"/>
                <w:sz w:val="24"/>
              </w:rPr>
              <w:t>服务内容部分</w:t>
            </w:r>
            <w:bookmarkEnd w:id="45"/>
            <w:bookmarkEnd w:id="46"/>
          </w:p>
        </w:tc>
      </w:tr>
      <w:tr w14:paraId="59A3F0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E313029">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778D47F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52FEC2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776453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228B15B">
            <w:pPr>
              <w:adjustRightInd w:val="0"/>
              <w:snapToGrid w:val="0"/>
              <w:spacing w:line="240" w:lineRule="exact"/>
              <w:jc w:val="center"/>
              <w:outlineLvl w:val="0"/>
              <w:rPr>
                <w:rFonts w:ascii="宋体" w:hAnsi="宋体"/>
                <w:sz w:val="24"/>
                <w:szCs w:val="24"/>
              </w:rPr>
            </w:pPr>
          </w:p>
        </w:tc>
      </w:tr>
      <w:tr w14:paraId="04D346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695CF5C">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5972CA80">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A8E083A">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42E8A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0CA1F0">
            <w:pPr>
              <w:adjustRightInd w:val="0"/>
              <w:snapToGrid w:val="0"/>
              <w:spacing w:line="240" w:lineRule="exact"/>
              <w:jc w:val="center"/>
              <w:outlineLvl w:val="0"/>
              <w:rPr>
                <w:rFonts w:ascii="宋体" w:hAnsi="宋体"/>
                <w:sz w:val="24"/>
                <w:szCs w:val="24"/>
              </w:rPr>
            </w:pPr>
          </w:p>
        </w:tc>
      </w:tr>
      <w:tr w14:paraId="016DED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6DDF3C0">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6D6B4C4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5CAB22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65C536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6E291BE">
            <w:pPr>
              <w:adjustRightInd w:val="0"/>
              <w:snapToGrid w:val="0"/>
              <w:spacing w:line="240" w:lineRule="exact"/>
              <w:jc w:val="center"/>
              <w:outlineLvl w:val="0"/>
              <w:rPr>
                <w:rFonts w:ascii="宋体" w:hAnsi="宋体"/>
                <w:sz w:val="24"/>
                <w:szCs w:val="24"/>
              </w:rPr>
            </w:pPr>
          </w:p>
        </w:tc>
      </w:tr>
      <w:tr w14:paraId="71AD47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04B2EF1">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6E58B34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FBC0B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1790CD2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5AFD1544">
            <w:pPr>
              <w:adjustRightInd w:val="0"/>
              <w:snapToGrid w:val="0"/>
              <w:spacing w:line="240" w:lineRule="exact"/>
              <w:jc w:val="center"/>
              <w:outlineLvl w:val="0"/>
              <w:rPr>
                <w:rFonts w:ascii="宋体" w:hAnsi="宋体"/>
                <w:sz w:val="24"/>
                <w:szCs w:val="24"/>
              </w:rPr>
            </w:pPr>
          </w:p>
        </w:tc>
      </w:tr>
    </w:tbl>
    <w:p w14:paraId="4E864243">
      <w:pPr>
        <w:adjustRightInd w:val="0"/>
        <w:snapToGrid w:val="0"/>
        <w:spacing w:line="460" w:lineRule="exact"/>
        <w:rPr>
          <w:rFonts w:ascii="宋体" w:hAnsi="宋体"/>
          <w:sz w:val="24"/>
        </w:rPr>
      </w:pPr>
      <w:r>
        <w:rPr>
          <w:rFonts w:hint="eastAsia" w:ascii="宋体" w:hAnsi="宋体"/>
          <w:sz w:val="24"/>
        </w:rPr>
        <w:t>说明：</w:t>
      </w:r>
    </w:p>
    <w:p w14:paraId="78EDD5E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633E21D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6D150045">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52C34428">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1F5FF965">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514F2071">
      <w:pPr>
        <w:spacing w:after="120"/>
        <w:jc w:val="left"/>
        <w:rPr>
          <w:rFonts w:ascii="宋体" w:hAnsi="宋体" w:cs="宋体"/>
          <w:b/>
          <w:sz w:val="24"/>
          <w:szCs w:val="24"/>
        </w:rPr>
      </w:pPr>
    </w:p>
    <w:p w14:paraId="16E48FC3">
      <w:pPr>
        <w:spacing w:after="120"/>
        <w:jc w:val="left"/>
        <w:rPr>
          <w:b/>
          <w:sz w:val="28"/>
          <w:szCs w:val="24"/>
        </w:rPr>
      </w:pPr>
      <w:r>
        <w:rPr>
          <w:rFonts w:hint="eastAsia" w:ascii="宋体" w:hAnsi="宋体" w:cs="宋体"/>
          <w:b/>
          <w:sz w:val="24"/>
          <w:szCs w:val="24"/>
        </w:rPr>
        <w:t xml:space="preserve">      　　　　　　　　　　　　　                           日期：   年  月  日</w:t>
      </w:r>
    </w:p>
    <w:p w14:paraId="144E30FA">
      <w:pPr>
        <w:pStyle w:val="4"/>
        <w:spacing w:line="360" w:lineRule="auto"/>
        <w:rPr>
          <w:b/>
          <w:color w:val="FF0000"/>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DD27"/>
    <w:multiLevelType w:val="singleLevel"/>
    <w:tmpl w:val="053EDD27"/>
    <w:lvl w:ilvl="0" w:tentative="0">
      <w:start w:val="1"/>
      <w:numFmt w:val="chineseCounting"/>
      <w:suff w:val="nothing"/>
      <w:lvlText w:val="%1、"/>
      <w:lvlJc w:val="left"/>
      <w:rPr>
        <w:rFonts w:hint="eastAsia"/>
      </w:rPr>
    </w:lvl>
  </w:abstractNum>
  <w:abstractNum w:abstractNumId="1">
    <w:nsid w:val="0A46E091"/>
    <w:multiLevelType w:val="singleLevel"/>
    <w:tmpl w:val="0A46E091"/>
    <w:lvl w:ilvl="0" w:tentative="0">
      <w:start w:val="1"/>
      <w:numFmt w:val="chineseCounting"/>
      <w:suff w:val="nothing"/>
      <w:lvlText w:val="%1、"/>
      <w:lvlJc w:val="left"/>
      <w:rPr>
        <w:rFonts w:hint="eastAsia"/>
      </w:rPr>
    </w:lvl>
  </w:abstractNum>
  <w:abstractNum w:abstractNumId="2">
    <w:nsid w:val="1519128E"/>
    <w:multiLevelType w:val="singleLevel"/>
    <w:tmpl w:val="1519128E"/>
    <w:lvl w:ilvl="0" w:tentative="0">
      <w:start w:val="7"/>
      <w:numFmt w:val="decimal"/>
      <w:lvlText w:val="%1."/>
      <w:lvlJc w:val="left"/>
      <w:pPr>
        <w:tabs>
          <w:tab w:val="left" w:pos="312"/>
        </w:tabs>
      </w:pPr>
    </w:lvl>
  </w:abstractNum>
  <w:abstractNum w:abstractNumId="3">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FB"/>
    <w:rsid w:val="0000227E"/>
    <w:rsid w:val="00022656"/>
    <w:rsid w:val="0003370D"/>
    <w:rsid w:val="00033E60"/>
    <w:rsid w:val="0005406C"/>
    <w:rsid w:val="000927C5"/>
    <w:rsid w:val="00094D15"/>
    <w:rsid w:val="00096E23"/>
    <w:rsid w:val="000977F7"/>
    <w:rsid w:val="000A18FB"/>
    <w:rsid w:val="000A5546"/>
    <w:rsid w:val="000A7ABD"/>
    <w:rsid w:val="000B2802"/>
    <w:rsid w:val="000D0700"/>
    <w:rsid w:val="000D24F9"/>
    <w:rsid w:val="000D2C6F"/>
    <w:rsid w:val="000E0EBC"/>
    <w:rsid w:val="001135F9"/>
    <w:rsid w:val="00115203"/>
    <w:rsid w:val="00121D26"/>
    <w:rsid w:val="00121F24"/>
    <w:rsid w:val="00131F1A"/>
    <w:rsid w:val="00131F2F"/>
    <w:rsid w:val="00167C68"/>
    <w:rsid w:val="00167D27"/>
    <w:rsid w:val="001739BD"/>
    <w:rsid w:val="00175BD3"/>
    <w:rsid w:val="001841BB"/>
    <w:rsid w:val="00197C14"/>
    <w:rsid w:val="001B2D59"/>
    <w:rsid w:val="001B52A8"/>
    <w:rsid w:val="001C5386"/>
    <w:rsid w:val="001D2AAE"/>
    <w:rsid w:val="001E6869"/>
    <w:rsid w:val="001E6CCD"/>
    <w:rsid w:val="00206B8D"/>
    <w:rsid w:val="0022534B"/>
    <w:rsid w:val="00226ABE"/>
    <w:rsid w:val="002501BB"/>
    <w:rsid w:val="0026302E"/>
    <w:rsid w:val="00263320"/>
    <w:rsid w:val="00271181"/>
    <w:rsid w:val="00280A55"/>
    <w:rsid w:val="002A1C58"/>
    <w:rsid w:val="002A402F"/>
    <w:rsid w:val="002B2D31"/>
    <w:rsid w:val="002B30DA"/>
    <w:rsid w:val="002D7B38"/>
    <w:rsid w:val="002E7238"/>
    <w:rsid w:val="002E759E"/>
    <w:rsid w:val="0030619C"/>
    <w:rsid w:val="0031078D"/>
    <w:rsid w:val="00311FE0"/>
    <w:rsid w:val="00316B59"/>
    <w:rsid w:val="003301DA"/>
    <w:rsid w:val="00351974"/>
    <w:rsid w:val="00352DEE"/>
    <w:rsid w:val="00355C5A"/>
    <w:rsid w:val="0036474E"/>
    <w:rsid w:val="00372E5C"/>
    <w:rsid w:val="00393DFC"/>
    <w:rsid w:val="00396635"/>
    <w:rsid w:val="003C1C9F"/>
    <w:rsid w:val="003D50E2"/>
    <w:rsid w:val="003E01AC"/>
    <w:rsid w:val="003F30D5"/>
    <w:rsid w:val="0040368D"/>
    <w:rsid w:val="00403734"/>
    <w:rsid w:val="0040574C"/>
    <w:rsid w:val="0040699E"/>
    <w:rsid w:val="00413075"/>
    <w:rsid w:val="004244FB"/>
    <w:rsid w:val="00431EBE"/>
    <w:rsid w:val="00433416"/>
    <w:rsid w:val="00433D45"/>
    <w:rsid w:val="00444B38"/>
    <w:rsid w:val="00445ECD"/>
    <w:rsid w:val="0045137C"/>
    <w:rsid w:val="00454500"/>
    <w:rsid w:val="00456DE7"/>
    <w:rsid w:val="00470B0F"/>
    <w:rsid w:val="00472E92"/>
    <w:rsid w:val="00476965"/>
    <w:rsid w:val="00485B0E"/>
    <w:rsid w:val="004B4EF7"/>
    <w:rsid w:val="004E038B"/>
    <w:rsid w:val="004F63BE"/>
    <w:rsid w:val="005023DE"/>
    <w:rsid w:val="00503E77"/>
    <w:rsid w:val="00511C16"/>
    <w:rsid w:val="00520AF4"/>
    <w:rsid w:val="00524F9C"/>
    <w:rsid w:val="005257F6"/>
    <w:rsid w:val="00533183"/>
    <w:rsid w:val="00533262"/>
    <w:rsid w:val="005332BE"/>
    <w:rsid w:val="00544186"/>
    <w:rsid w:val="00552AC2"/>
    <w:rsid w:val="00562452"/>
    <w:rsid w:val="0057096A"/>
    <w:rsid w:val="00572110"/>
    <w:rsid w:val="005726E0"/>
    <w:rsid w:val="005734B0"/>
    <w:rsid w:val="00585294"/>
    <w:rsid w:val="005A33D4"/>
    <w:rsid w:val="005A6583"/>
    <w:rsid w:val="005E2826"/>
    <w:rsid w:val="005F2B63"/>
    <w:rsid w:val="005F585A"/>
    <w:rsid w:val="00603AD8"/>
    <w:rsid w:val="00642021"/>
    <w:rsid w:val="00662D69"/>
    <w:rsid w:val="006666BC"/>
    <w:rsid w:val="00670D4D"/>
    <w:rsid w:val="00676789"/>
    <w:rsid w:val="00694629"/>
    <w:rsid w:val="00697692"/>
    <w:rsid w:val="006B3B05"/>
    <w:rsid w:val="006C3961"/>
    <w:rsid w:val="006D287A"/>
    <w:rsid w:val="006E71DF"/>
    <w:rsid w:val="006F58EB"/>
    <w:rsid w:val="00720CCA"/>
    <w:rsid w:val="007268B5"/>
    <w:rsid w:val="00730A0B"/>
    <w:rsid w:val="00736EC4"/>
    <w:rsid w:val="00751B63"/>
    <w:rsid w:val="007568F0"/>
    <w:rsid w:val="00773684"/>
    <w:rsid w:val="00785A0F"/>
    <w:rsid w:val="00787137"/>
    <w:rsid w:val="007925DB"/>
    <w:rsid w:val="007A6F05"/>
    <w:rsid w:val="007C01A3"/>
    <w:rsid w:val="007C4D3E"/>
    <w:rsid w:val="007D2C2F"/>
    <w:rsid w:val="007D5B38"/>
    <w:rsid w:val="007D7CB6"/>
    <w:rsid w:val="007E28EF"/>
    <w:rsid w:val="007E3CBC"/>
    <w:rsid w:val="007E71BF"/>
    <w:rsid w:val="007F7416"/>
    <w:rsid w:val="00810B52"/>
    <w:rsid w:val="0081784F"/>
    <w:rsid w:val="00822192"/>
    <w:rsid w:val="00825E8F"/>
    <w:rsid w:val="0082601C"/>
    <w:rsid w:val="00826338"/>
    <w:rsid w:val="00826A10"/>
    <w:rsid w:val="00826C89"/>
    <w:rsid w:val="008419DB"/>
    <w:rsid w:val="008427E4"/>
    <w:rsid w:val="00847D62"/>
    <w:rsid w:val="0085390B"/>
    <w:rsid w:val="00853AB3"/>
    <w:rsid w:val="00853CB4"/>
    <w:rsid w:val="00874053"/>
    <w:rsid w:val="008749CD"/>
    <w:rsid w:val="00876773"/>
    <w:rsid w:val="00880EFF"/>
    <w:rsid w:val="00897F30"/>
    <w:rsid w:val="008A3635"/>
    <w:rsid w:val="008B683E"/>
    <w:rsid w:val="008E56A6"/>
    <w:rsid w:val="008F073E"/>
    <w:rsid w:val="008F5CD2"/>
    <w:rsid w:val="008F5DC6"/>
    <w:rsid w:val="00905CC9"/>
    <w:rsid w:val="009068A8"/>
    <w:rsid w:val="0090710C"/>
    <w:rsid w:val="009072C1"/>
    <w:rsid w:val="00916A7D"/>
    <w:rsid w:val="009204DD"/>
    <w:rsid w:val="00941525"/>
    <w:rsid w:val="0095082E"/>
    <w:rsid w:val="009564DE"/>
    <w:rsid w:val="00981FCA"/>
    <w:rsid w:val="009A6AAE"/>
    <w:rsid w:val="009C24E5"/>
    <w:rsid w:val="009E0184"/>
    <w:rsid w:val="009E08B6"/>
    <w:rsid w:val="009E2708"/>
    <w:rsid w:val="009E4BA0"/>
    <w:rsid w:val="009F0680"/>
    <w:rsid w:val="009F3818"/>
    <w:rsid w:val="00A048E8"/>
    <w:rsid w:val="00A10223"/>
    <w:rsid w:val="00A121A6"/>
    <w:rsid w:val="00A177D1"/>
    <w:rsid w:val="00A347D8"/>
    <w:rsid w:val="00A4170A"/>
    <w:rsid w:val="00A536B6"/>
    <w:rsid w:val="00A547B6"/>
    <w:rsid w:val="00A612FD"/>
    <w:rsid w:val="00A620B1"/>
    <w:rsid w:val="00A70397"/>
    <w:rsid w:val="00A70653"/>
    <w:rsid w:val="00A7232A"/>
    <w:rsid w:val="00A724F0"/>
    <w:rsid w:val="00A857E9"/>
    <w:rsid w:val="00A86B15"/>
    <w:rsid w:val="00A9023C"/>
    <w:rsid w:val="00A9151B"/>
    <w:rsid w:val="00AA274B"/>
    <w:rsid w:val="00AA2C32"/>
    <w:rsid w:val="00AC278C"/>
    <w:rsid w:val="00AC44F9"/>
    <w:rsid w:val="00AD220C"/>
    <w:rsid w:val="00AD51A7"/>
    <w:rsid w:val="00AE7821"/>
    <w:rsid w:val="00AF3302"/>
    <w:rsid w:val="00B03B7A"/>
    <w:rsid w:val="00B11CE4"/>
    <w:rsid w:val="00B27B45"/>
    <w:rsid w:val="00B37A35"/>
    <w:rsid w:val="00B37A8A"/>
    <w:rsid w:val="00B407D1"/>
    <w:rsid w:val="00B41C74"/>
    <w:rsid w:val="00B41D94"/>
    <w:rsid w:val="00B52E74"/>
    <w:rsid w:val="00B76A86"/>
    <w:rsid w:val="00B80378"/>
    <w:rsid w:val="00B84453"/>
    <w:rsid w:val="00B92D24"/>
    <w:rsid w:val="00B932DA"/>
    <w:rsid w:val="00BC4DC9"/>
    <w:rsid w:val="00BC52E6"/>
    <w:rsid w:val="00BD7D93"/>
    <w:rsid w:val="00BE740B"/>
    <w:rsid w:val="00C00E88"/>
    <w:rsid w:val="00C00F3B"/>
    <w:rsid w:val="00C1072F"/>
    <w:rsid w:val="00C15953"/>
    <w:rsid w:val="00C20D15"/>
    <w:rsid w:val="00C372E4"/>
    <w:rsid w:val="00C418AD"/>
    <w:rsid w:val="00C52B82"/>
    <w:rsid w:val="00C83F26"/>
    <w:rsid w:val="00C85DDE"/>
    <w:rsid w:val="00CB36AB"/>
    <w:rsid w:val="00CB7EA0"/>
    <w:rsid w:val="00CD10EC"/>
    <w:rsid w:val="00CD76E9"/>
    <w:rsid w:val="00CF2741"/>
    <w:rsid w:val="00D11F27"/>
    <w:rsid w:val="00D157BB"/>
    <w:rsid w:val="00D23EEC"/>
    <w:rsid w:val="00D31AD8"/>
    <w:rsid w:val="00D423DD"/>
    <w:rsid w:val="00D43215"/>
    <w:rsid w:val="00D55902"/>
    <w:rsid w:val="00D57120"/>
    <w:rsid w:val="00D57635"/>
    <w:rsid w:val="00D57AE2"/>
    <w:rsid w:val="00D60345"/>
    <w:rsid w:val="00D6381E"/>
    <w:rsid w:val="00D65EE7"/>
    <w:rsid w:val="00D71D31"/>
    <w:rsid w:val="00D73D52"/>
    <w:rsid w:val="00D775B8"/>
    <w:rsid w:val="00D8657A"/>
    <w:rsid w:val="00D90F04"/>
    <w:rsid w:val="00D912E9"/>
    <w:rsid w:val="00D95FE0"/>
    <w:rsid w:val="00DD5680"/>
    <w:rsid w:val="00DF0DEC"/>
    <w:rsid w:val="00E10E5E"/>
    <w:rsid w:val="00E226EF"/>
    <w:rsid w:val="00E22920"/>
    <w:rsid w:val="00E33548"/>
    <w:rsid w:val="00E54C5F"/>
    <w:rsid w:val="00E64992"/>
    <w:rsid w:val="00E714BC"/>
    <w:rsid w:val="00E719CD"/>
    <w:rsid w:val="00E83569"/>
    <w:rsid w:val="00E95383"/>
    <w:rsid w:val="00EC7181"/>
    <w:rsid w:val="00EE2DD1"/>
    <w:rsid w:val="00EE4E0F"/>
    <w:rsid w:val="00EF1142"/>
    <w:rsid w:val="00EF6B77"/>
    <w:rsid w:val="00F01ACD"/>
    <w:rsid w:val="00F23A55"/>
    <w:rsid w:val="00F23DEE"/>
    <w:rsid w:val="00F30291"/>
    <w:rsid w:val="00F36AF2"/>
    <w:rsid w:val="00F41894"/>
    <w:rsid w:val="00F430D8"/>
    <w:rsid w:val="00F45965"/>
    <w:rsid w:val="00F5231C"/>
    <w:rsid w:val="00F529C6"/>
    <w:rsid w:val="00F534CB"/>
    <w:rsid w:val="00F57E82"/>
    <w:rsid w:val="00F67F43"/>
    <w:rsid w:val="00F73137"/>
    <w:rsid w:val="00F75191"/>
    <w:rsid w:val="00F80DDD"/>
    <w:rsid w:val="00F82047"/>
    <w:rsid w:val="00F85CDE"/>
    <w:rsid w:val="00F85E9A"/>
    <w:rsid w:val="00F86FB3"/>
    <w:rsid w:val="00F90A34"/>
    <w:rsid w:val="00F92F10"/>
    <w:rsid w:val="00F95E9A"/>
    <w:rsid w:val="00FB7607"/>
    <w:rsid w:val="00FC68B0"/>
    <w:rsid w:val="00FE0481"/>
    <w:rsid w:val="01B32C3A"/>
    <w:rsid w:val="02127B25"/>
    <w:rsid w:val="037F2773"/>
    <w:rsid w:val="06846916"/>
    <w:rsid w:val="06C40151"/>
    <w:rsid w:val="0BC71CC3"/>
    <w:rsid w:val="0C4E6409"/>
    <w:rsid w:val="0C8A7403"/>
    <w:rsid w:val="0FB37347"/>
    <w:rsid w:val="120B7BE2"/>
    <w:rsid w:val="1302311F"/>
    <w:rsid w:val="132D27DF"/>
    <w:rsid w:val="14272EA2"/>
    <w:rsid w:val="148759AD"/>
    <w:rsid w:val="149253FF"/>
    <w:rsid w:val="17CC70FE"/>
    <w:rsid w:val="184743D9"/>
    <w:rsid w:val="187B4AB8"/>
    <w:rsid w:val="18EA76D6"/>
    <w:rsid w:val="1DDA151B"/>
    <w:rsid w:val="1F5F475E"/>
    <w:rsid w:val="209220EC"/>
    <w:rsid w:val="256C7B62"/>
    <w:rsid w:val="25923F4D"/>
    <w:rsid w:val="25C93DBB"/>
    <w:rsid w:val="27676DAE"/>
    <w:rsid w:val="27AA7668"/>
    <w:rsid w:val="28DF530A"/>
    <w:rsid w:val="292F766C"/>
    <w:rsid w:val="29790ABB"/>
    <w:rsid w:val="2F5C246D"/>
    <w:rsid w:val="30EE5C11"/>
    <w:rsid w:val="32701F68"/>
    <w:rsid w:val="33B20B2C"/>
    <w:rsid w:val="34904C1F"/>
    <w:rsid w:val="34A014D4"/>
    <w:rsid w:val="35686C87"/>
    <w:rsid w:val="35715D24"/>
    <w:rsid w:val="364A5795"/>
    <w:rsid w:val="36E21052"/>
    <w:rsid w:val="388127A4"/>
    <w:rsid w:val="3A4A0C98"/>
    <w:rsid w:val="3B82520A"/>
    <w:rsid w:val="3E16093B"/>
    <w:rsid w:val="3E2B6642"/>
    <w:rsid w:val="40014ABD"/>
    <w:rsid w:val="43946EA8"/>
    <w:rsid w:val="44B80AE3"/>
    <w:rsid w:val="46995568"/>
    <w:rsid w:val="47C3262D"/>
    <w:rsid w:val="47EC741F"/>
    <w:rsid w:val="48E11081"/>
    <w:rsid w:val="49FB248F"/>
    <w:rsid w:val="4E3C51A6"/>
    <w:rsid w:val="4EA57F5B"/>
    <w:rsid w:val="4F475660"/>
    <w:rsid w:val="4F91042F"/>
    <w:rsid w:val="4FA77CEC"/>
    <w:rsid w:val="4FDD51EF"/>
    <w:rsid w:val="534B409A"/>
    <w:rsid w:val="54A6047C"/>
    <w:rsid w:val="54C432C1"/>
    <w:rsid w:val="575F02D9"/>
    <w:rsid w:val="57F16502"/>
    <w:rsid w:val="5922789C"/>
    <w:rsid w:val="59831B59"/>
    <w:rsid w:val="5A0C5980"/>
    <w:rsid w:val="5ABB2BF9"/>
    <w:rsid w:val="5D2154B5"/>
    <w:rsid w:val="5D2748E5"/>
    <w:rsid w:val="5D463078"/>
    <w:rsid w:val="5EEF528C"/>
    <w:rsid w:val="5FAC7A2F"/>
    <w:rsid w:val="613C578C"/>
    <w:rsid w:val="62B17A6B"/>
    <w:rsid w:val="62F91608"/>
    <w:rsid w:val="635737F1"/>
    <w:rsid w:val="6595274A"/>
    <w:rsid w:val="68243590"/>
    <w:rsid w:val="6BA77A57"/>
    <w:rsid w:val="6D921163"/>
    <w:rsid w:val="6E9A12BD"/>
    <w:rsid w:val="6EB16BDF"/>
    <w:rsid w:val="6F16174A"/>
    <w:rsid w:val="6FB94E90"/>
    <w:rsid w:val="70FB14A4"/>
    <w:rsid w:val="72F97BB3"/>
    <w:rsid w:val="74304FCC"/>
    <w:rsid w:val="74BC16CF"/>
    <w:rsid w:val="74E76471"/>
    <w:rsid w:val="75023CF6"/>
    <w:rsid w:val="77D61299"/>
    <w:rsid w:val="795D134B"/>
    <w:rsid w:val="7AD14C6A"/>
    <w:rsid w:val="7B581EAA"/>
    <w:rsid w:val="7C8E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0"/>
    <w:pPr>
      <w:ind w:firstLine="420"/>
    </w:pPr>
    <w:rPr>
      <w:kern w:val="0"/>
      <w:sz w:val="20"/>
      <w:szCs w:val="20"/>
    </w:rPr>
  </w:style>
  <w:style w:type="paragraph" w:styleId="3">
    <w:name w:val="annotation text"/>
    <w:basedOn w:val="1"/>
    <w:link w:val="28"/>
    <w:semiHidden/>
    <w:unhideWhenUsed/>
    <w:qFormat/>
    <w:uiPriority w:val="99"/>
    <w:pPr>
      <w:jc w:val="left"/>
    </w:pPr>
  </w:style>
  <w:style w:type="paragraph" w:styleId="4">
    <w:name w:val="Body Text"/>
    <w:basedOn w:val="1"/>
    <w:link w:val="30"/>
    <w:unhideWhenUsed/>
    <w:qFormat/>
    <w:uiPriority w:val="99"/>
    <w:pPr>
      <w:spacing w:after="120"/>
    </w:pPr>
  </w:style>
  <w:style w:type="paragraph" w:styleId="5">
    <w:name w:val="Plain Text"/>
    <w:basedOn w:val="1"/>
    <w:next w:val="6"/>
    <w:link w:val="21"/>
    <w:unhideWhenUsed/>
    <w:qFormat/>
    <w:uiPriority w:val="99"/>
    <w:rPr>
      <w:rFonts w:ascii="宋体" w:hAnsi="Courier New"/>
    </w:rPr>
  </w:style>
  <w:style w:type="paragraph" w:styleId="6">
    <w:name w:val="Date"/>
    <w:basedOn w:val="1"/>
    <w:next w:val="1"/>
    <w:link w:val="22"/>
    <w:semiHidden/>
    <w:unhideWhenUsed/>
    <w:qFormat/>
    <w:uiPriority w:val="99"/>
    <w:pPr>
      <w:ind w:left="100" w:leftChars="2500"/>
    </w:p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11"/>
    <w:pPr>
      <w:tabs>
        <w:tab w:val="left" w:pos="425"/>
      </w:tabs>
      <w:spacing w:before="240" w:after="60" w:line="312" w:lineRule="auto"/>
      <w:jc w:val="center"/>
      <w:outlineLvl w:val="1"/>
    </w:pPr>
    <w:rPr>
      <w:b/>
      <w:kern w:val="28"/>
      <w:sz w:val="32"/>
      <w:szCs w:val="32"/>
    </w:rPr>
  </w:style>
  <w:style w:type="paragraph" w:styleId="11">
    <w:name w:val="annotation subject"/>
    <w:basedOn w:val="3"/>
    <w:next w:val="3"/>
    <w:link w:val="29"/>
    <w:semiHidden/>
    <w:unhideWhenUsed/>
    <w:qFormat/>
    <w:uiPriority w:val="99"/>
    <w:rPr>
      <w:b/>
      <w:bCs/>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character" w:styleId="16">
    <w:name w:val="annotation reference"/>
    <w:basedOn w:val="14"/>
    <w:unhideWhenUsed/>
    <w:qFormat/>
    <w:uiPriority w:val="99"/>
    <w:rPr>
      <w:sz w:val="21"/>
      <w:szCs w:val="21"/>
    </w:rPr>
  </w:style>
  <w:style w:type="paragraph" w:styleId="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
    <w:name w:val="页眉 Char"/>
    <w:basedOn w:val="14"/>
    <w:link w:val="9"/>
    <w:qFormat/>
    <w:uiPriority w:val="99"/>
    <w:rPr>
      <w:sz w:val="18"/>
      <w:szCs w:val="18"/>
    </w:rPr>
  </w:style>
  <w:style w:type="character" w:customStyle="1" w:styleId="19">
    <w:name w:val="页脚 Char"/>
    <w:basedOn w:val="14"/>
    <w:link w:val="8"/>
    <w:qFormat/>
    <w:uiPriority w:val="99"/>
    <w:rPr>
      <w:sz w:val="18"/>
      <w:szCs w:val="18"/>
    </w:rPr>
  </w:style>
  <w:style w:type="character" w:customStyle="1" w:styleId="20">
    <w:name w:val="批注框文本 Char"/>
    <w:basedOn w:val="14"/>
    <w:link w:val="7"/>
    <w:semiHidden/>
    <w:qFormat/>
    <w:uiPriority w:val="99"/>
    <w:rPr>
      <w:sz w:val="18"/>
      <w:szCs w:val="18"/>
    </w:rPr>
  </w:style>
  <w:style w:type="character" w:customStyle="1" w:styleId="21">
    <w:name w:val="纯文本 Char"/>
    <w:basedOn w:val="14"/>
    <w:link w:val="5"/>
    <w:qFormat/>
    <w:uiPriority w:val="99"/>
    <w:rPr>
      <w:rFonts w:ascii="宋体" w:hAnsi="Courier New"/>
      <w:kern w:val="2"/>
      <w:sz w:val="21"/>
      <w:szCs w:val="22"/>
    </w:rPr>
  </w:style>
  <w:style w:type="character" w:customStyle="1" w:styleId="22">
    <w:name w:val="日期 Char"/>
    <w:basedOn w:val="14"/>
    <w:link w:val="6"/>
    <w:semiHidden/>
    <w:qFormat/>
    <w:uiPriority w:val="99"/>
    <w:rPr>
      <w:kern w:val="2"/>
      <w:sz w:val="21"/>
      <w:szCs w:val="22"/>
    </w:rPr>
  </w:style>
  <w:style w:type="character" w:customStyle="1" w:styleId="23">
    <w:name w:val="font21"/>
    <w:basedOn w:val="14"/>
    <w:qFormat/>
    <w:uiPriority w:val="0"/>
    <w:rPr>
      <w:rFonts w:ascii="Calibri" w:hAnsi="Calibri" w:cs="Calibri"/>
      <w:color w:val="000000"/>
      <w:sz w:val="22"/>
      <w:szCs w:val="22"/>
      <w:u w:val="none"/>
    </w:rPr>
  </w:style>
  <w:style w:type="character" w:customStyle="1" w:styleId="24">
    <w:name w:val="font41"/>
    <w:basedOn w:val="14"/>
    <w:qFormat/>
    <w:uiPriority w:val="0"/>
    <w:rPr>
      <w:rFonts w:hint="eastAsia" w:ascii="宋体" w:hAnsi="宋体" w:eastAsia="宋体" w:cs="宋体"/>
      <w:color w:val="000000"/>
      <w:sz w:val="22"/>
      <w:szCs w:val="22"/>
      <w:u w:val="none"/>
    </w:rPr>
  </w:style>
  <w:style w:type="character" w:customStyle="1" w:styleId="25">
    <w:name w:val="font11"/>
    <w:basedOn w:val="14"/>
    <w:qFormat/>
    <w:uiPriority w:val="0"/>
    <w:rPr>
      <w:rFonts w:hint="default" w:ascii="Calibri" w:hAnsi="Calibri" w:cs="Calibri"/>
      <w:color w:val="000000"/>
      <w:sz w:val="22"/>
      <w:szCs w:val="22"/>
      <w:u w:val="none"/>
    </w:rPr>
  </w:style>
  <w:style w:type="character" w:customStyle="1" w:styleId="26">
    <w:name w:val="font01"/>
    <w:basedOn w:val="14"/>
    <w:qFormat/>
    <w:uiPriority w:val="0"/>
    <w:rPr>
      <w:rFonts w:hint="default" w:ascii="Calibri" w:hAnsi="Calibri" w:cs="Calibri"/>
      <w:color w:val="000000"/>
      <w:sz w:val="22"/>
      <w:szCs w:val="22"/>
      <w:u w:val="none"/>
    </w:rPr>
  </w:style>
  <w:style w:type="character" w:customStyle="1" w:styleId="27">
    <w:name w:val="font31"/>
    <w:basedOn w:val="14"/>
    <w:qFormat/>
    <w:uiPriority w:val="0"/>
    <w:rPr>
      <w:rFonts w:hint="eastAsia" w:ascii="宋体" w:hAnsi="宋体" w:eastAsia="宋体" w:cs="宋体"/>
      <w:color w:val="000000"/>
      <w:sz w:val="22"/>
      <w:szCs w:val="22"/>
      <w:u w:val="none"/>
    </w:rPr>
  </w:style>
  <w:style w:type="character" w:customStyle="1" w:styleId="28">
    <w:name w:val="批注文字 Char"/>
    <w:basedOn w:val="14"/>
    <w:link w:val="3"/>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1"/>
    <w:semiHidden/>
    <w:qFormat/>
    <w:uiPriority w:val="99"/>
    <w:rPr>
      <w:rFonts w:asciiTheme="minorHAnsi" w:hAnsiTheme="minorHAnsi" w:eastAsiaTheme="minorEastAsia" w:cstheme="minorBidi"/>
      <w:b/>
      <w:bCs/>
      <w:kern w:val="2"/>
      <w:sz w:val="21"/>
      <w:szCs w:val="22"/>
    </w:rPr>
  </w:style>
  <w:style w:type="character" w:customStyle="1" w:styleId="30">
    <w:name w:val="正文文本 Char"/>
    <w:basedOn w:val="14"/>
    <w:link w:val="4"/>
    <w:qFormat/>
    <w:uiPriority w:val="99"/>
    <w:rPr>
      <w:kern w:val="2"/>
      <w:sz w:val="21"/>
      <w:szCs w:val="22"/>
    </w:rPr>
  </w:style>
  <w:style w:type="paragraph" w:customStyle="1" w:styleId="31">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2">
    <w:name w:val="标题2"/>
    <w:basedOn w:val="1"/>
    <w:next w:val="1"/>
    <w:qFormat/>
    <w:uiPriority w:val="0"/>
    <w:pPr>
      <w:ind w:firstLine="0" w:firstLineChars="0"/>
      <w:outlineLvl w:val="1"/>
    </w:pPr>
    <w:rPr>
      <w:b/>
    </w:rPr>
  </w:style>
  <w:style w:type="paragraph" w:styleId="33">
    <w:name w:val="Quote"/>
    <w:basedOn w:val="1"/>
    <w:next w:val="1"/>
    <w:qFormat/>
    <w:uiPriority w:val="0"/>
    <w:pPr>
      <w:wordWrap w:val="0"/>
      <w:spacing w:before="200" w:after="160"/>
      <w:ind w:left="864" w:right="864"/>
      <w:jc w:val="center"/>
    </w:pPr>
    <w:rPr>
      <w:i/>
      <w:sz w:val="21"/>
      <w:lang w:val="en-US" w:eastAsia="zh-CN" w:bidi="ar-SA"/>
    </w:rPr>
  </w:style>
  <w:style w:type="paragraph" w:customStyle="1" w:styleId="34">
    <w:name w:val="标题3（文件格式）"/>
    <w:basedOn w:val="1"/>
    <w:next w:val="1"/>
    <w:qFormat/>
    <w:uiPriority w:val="0"/>
    <w:pPr>
      <w:spacing w:line="480" w:lineRule="exact"/>
      <w:ind w:firstLine="0" w:firstLineChars="0"/>
      <w:outlineLvl w:val="2"/>
    </w:pPr>
    <w:rPr>
      <w:rFonts w:hAnsi="宋体"/>
      <w:b/>
      <w:color w:val="000000"/>
      <w:sz w:val="30"/>
      <w:szCs w:val="44"/>
    </w:rPr>
  </w:style>
  <w:style w:type="table" w:customStyle="1" w:styleId="3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20</Pages>
  <Words>12329</Words>
  <Characters>12650</Characters>
  <Lines>37</Lines>
  <Paragraphs>10</Paragraphs>
  <TotalTime>16</TotalTime>
  <ScaleCrop>false</ScaleCrop>
  <LinksUpToDate>false</LinksUpToDate>
  <CharactersWithSpaces>13950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2015-12-16T03:11:00Z</dcterms:created>
  <dc:creator>dreamsummit</dc:creator>
  <cp:lastModifiedBy> RONG</cp:lastModifiedBy>
  <cp:lastPrinted>2021-06-16T00:28:00Z</cp:lastPrinted>
  <dcterms:modified xsi:type="dcterms:W3CDTF">2026-06-22T09:32:15Z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AEE702499B4B48A38E770AE900CB26C3</vt:lpwstr>
  </property>
  <property fmtid="{D5CDD505-2E9C-101B-9397-08002B2CF9AE}" pid="4" name="KSOTemplateDocerSaveRecord">
    <vt:lpwstr>eyJoZGlkIjoiMDQ0ZTdmOTFlZjc0OWU0NDhmMzA1YTM2NmI5MDg1MzIiLCJ1c2VySWQiOiI0MDk0NTEyMTIifQ==</vt:lpwstr>
  </property>
</Properties>
</file>